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</w:rPr>
        <w:t>学习文档 — 跨平台智能比价系统</w:t>
      </w:r>
    </w:p>
    <w:p>
      <w:r>
        <w:rPr>
          <w:rFonts w:ascii="Arial Unicode MS" w:hAnsi="Arial Unicode MS" w:eastAsia="Arial Unicode MS"/>
        </w:rPr>
        <w:t>本文件为实时更新的学习记录。每次学到新知识、踩坑、发现新模式，必须立即写入。</w:t>
      </w:r>
    </w:p>
    <w:p>
      <w:r>
        <w:rPr>
          <w:rFonts w:ascii="Arial Unicode MS" w:hAnsi="Arial Unicode MS" w:eastAsia="Arial Unicode MS"/>
        </w:rPr>
        <w:t>最后更新: 2026-09-15</w:t>
      </w:r>
    </w:p>
    <w:p>
      <w:pPr>
        <w:pStyle w:val="Heading1"/>
      </w:pPr>
      <w:r>
        <w:rPr>
          <w:rFonts w:ascii="Arial Unicode MS" w:hAnsi="Arial Unicode MS" w:eastAsia="Arial Unicode MS"/>
        </w:rPr>
        <w:t>项目经验教训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2026-03-19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CLAUDE.md 保持 &lt;200 行，超长会导致 Claude 忽略规则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2026-03-19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项目 CLAUDE.md 不要重复全局规则，只写项目特有的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2026-03-19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.claudeignore 排除大文件(xlsx/json/venv)节省上下文</w:t>
            </w:r>
          </w:p>
        </w:tc>
      </w:tr>
    </w:tbl>
    <w:p>
      <w:pPr>
        <w:pStyle w:val="Heading1"/>
      </w:pPr>
    </w:p>
    <w:p/>
    <w:p>
      <w:pPr>
        <w:pStyle w:val="Heading1"/>
      </w:pPr>
    </w:p>
    <w:p/>
    <w:p>
      <w:pPr>
        <w:pStyle w:val="Heading1"/>
      </w:pPr>
    </w:p>
    <w:p/>
    <w:p>
      <w:pPr>
        <w:pStyle w:val="Heading1"/>
      </w:pPr>
      <w:r>
        <w:rPr>
          <w:rFonts w:ascii="Arial Unicode MS" w:hAnsi="Arial Unicode MS" w:eastAsia="Arial Unicode MS"/>
        </w:rPr>
        <w:t>技术知识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2026-03-19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爬虫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得物H5 API已加签名认证(401)，纯HTTP无法调用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2026-03-19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爬虫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识货__NEXT_DATA__含商品列表和全渠道价格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2026-03-19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爬虫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识货搜索对小众/EC专供产品匹配率低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2026-03-19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爬虫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李宁官网/得物/京东均为SPA渲染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2026-03-19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爬虫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httpx async需要httpcore[asyncio]依赖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</w:rPr>
        <w:t>踩坑记录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2026-03-19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识货搜索匹配阈值太低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提高阈值，错误数据比没有更危险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2026-03-19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百度搜索到配件价格(飓风¥79)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价格范围校验结合品类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2026-03-19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补全脚本写入错误价格需回滚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先备份缓存再写入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</w:rPr>
        <w:t>架构决策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决策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原因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2026-03-19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识货详情页作为全渠道价格主要来源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一次请求获得5个平台价格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2026-03-19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缺识货映射的产品需浏览器渲染</w:t>
            </w:r>
          </w:p>
        </w:tc>
        <w:tc>
          <w:tcPr>
            <w:tcW w:type="dxa" w:w="2880"/>
          </w:tcPr>
          <w:p>
            <w:r>
              <w:rPr>
                <w:rFonts w:ascii="Arial Unicode MS" w:hAnsi="Arial Unicode MS" w:eastAsia="Arial Unicode MS"/>
              </w:rPr>
              <w:t>SPA站点HTTP无效</w:t>
            </w:r>
          </w:p>
        </w:tc>
      </w:tr>
    </w:tbl>
    <w:p>
      <w:pPr>
        <w:pStyle w:val="Heading1"/>
        <w:pageBreakBefore/>
      </w:pPr>
      <w:r>
        <w:rPr>
          <w:rFonts w:ascii="Arial Unicode MS" w:hAnsi="Arial Unicode MS" w:eastAsia="Arial Unicode MS"/>
          <w:color w:val="000000"/>
        </w:rPr>
        <w:t>风云周报口径复盘 2026年9月15日</w:t>
      </w:r>
    </w:p>
    <w:p>
      <w:pPr>
        <w:pStyle w:val="Heading2"/>
      </w:pPr>
      <w:r>
        <w:rPr>
          <w:rFonts w:ascii="Arial Unicode MS" w:hAnsi="Arial Unicode MS" w:eastAsia="Arial Unicode MS"/>
          <w:color w:val="000000"/>
        </w:rPr>
        <w:t>免考核店铺必须完整展示</w:t>
      </w:r>
    </w:p>
    <w:p>
      <w:pPr>
        <w:spacing w:after="240"/>
      </w:pPr>
      <w:r>
        <w:rPr>
          <w:rFonts w:ascii="Arial Unicode MS" w:hAnsi="Arial Unicode MS" w:eastAsia="Arial Unicode MS"/>
          <w:sz w:val="22"/>
        </w:rPr>
        <w:t>三次及以上免考核店铺表必须同时展示盈利、亏损及缺数据待补的店铺，不能只筛选利润为负的记录；缺数据不得按零利润填充。</w:t>
      </w:r>
    </w:p>
    <w:p>
      <w:pPr>
        <w:pStyle w:val="Heading2"/>
      </w:pPr>
      <w:r>
        <w:rPr>
          <w:rFonts w:ascii="Arial Unicode MS" w:hAnsi="Arial Unicode MS" w:eastAsia="Arial Unicode MS"/>
          <w:color w:val="000000"/>
        </w:rPr>
        <w:t>商务归属须以确认信息为准</w:t>
      </w:r>
    </w:p>
    <w:p>
      <w:pPr>
        <w:spacing w:after="240"/>
      </w:pPr>
      <w:r>
        <w:rPr>
          <w:rFonts w:ascii="Arial Unicode MS" w:hAnsi="Arial Unicode MS" w:eastAsia="Arial Unicode MS"/>
          <w:sz w:val="22"/>
        </w:rPr>
        <w:t>待补登记姓名不等于已确认商务归属。报告按负责人确认结果更正时，须联动个人金额、环比、店数和最大贡献店，并验证团队金额守恒；报告更正不代表生产登记已更正。</w:t>
      </w:r>
    </w:p>
    <w:p>
      <w:pPr>
        <w:pStyle w:val="Heading2"/>
      </w:pPr>
      <w:r>
        <w:rPr>
          <w:rFonts w:ascii="Arial Unicode MS" w:hAnsi="Arial Unicode MS" w:eastAsia="Arial Unicode MS"/>
          <w:color w:val="000000"/>
        </w:rPr>
        <w:t>渠道投入与产出使用同一范围</w:t>
      </w:r>
    </w:p>
    <w:p>
      <w:pPr>
        <w:spacing w:after="240"/>
      </w:pPr>
      <w:r>
        <w:rPr>
          <w:rFonts w:ascii="Arial Unicode MS" w:hAnsi="Arial Unicode MS" w:eastAsia="Arial Unicode MS"/>
          <w:sz w:val="22"/>
        </w:rPr>
        <w:t>渠道全量红包和其中免考核红包、发车、窗口产出必须按同一商品、渠道和时间范围拆分。用户举例金额不得直接当成核实值；实际值须从同一范围的排单明细核对，并记录查询时间。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