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sz w:val="44"/>
        </w:rPr>
      </w:pPr>
    </w:p>
    <w:p>
      <w:pPr>
        <w:spacing w:line="360" w:lineRule="auto"/>
        <w:jc w:val="center"/>
        <w:rPr>
          <w:sz w:val="44"/>
        </w:rPr>
      </w:pPr>
    </w:p>
    <w:p>
      <w:pPr>
        <w:spacing w:line="360" w:lineRule="auto"/>
        <w:jc w:val="center"/>
        <w:rPr>
          <w:sz w:val="44"/>
        </w:rPr>
      </w:pPr>
    </w:p>
    <w:p>
      <w:pPr>
        <w:spacing w:line="360" w:lineRule="auto"/>
        <w:jc w:val="center"/>
        <w:rPr>
          <w:sz w:val="44"/>
        </w:rPr>
      </w:pPr>
    </w:p>
    <w:p>
      <w:pPr>
        <w:spacing w:line="360" w:lineRule="auto"/>
        <w:jc w:val="center"/>
        <w:rPr>
          <w:rFonts w:ascii="黑体" w:hAnsi="黑体" w:eastAsia="黑体"/>
          <w:sz w:val="52"/>
        </w:rPr>
      </w:pPr>
      <w:r>
        <w:rPr>
          <w:rFonts w:hint="eastAsia" w:ascii="黑体" w:hAnsi="黑体" w:eastAsia="黑体"/>
          <w:sz w:val="52"/>
        </w:rPr>
        <w:t>安信</w:t>
      </w:r>
      <w:r>
        <w:rPr>
          <w:rFonts w:ascii="黑体" w:hAnsi="黑体" w:eastAsia="黑体"/>
          <w:sz w:val="52"/>
        </w:rPr>
        <w:t>基金</w:t>
      </w:r>
    </w:p>
    <w:p>
      <w:pPr>
        <w:spacing w:line="360" w:lineRule="auto"/>
        <w:jc w:val="center"/>
        <w:rPr>
          <w:rFonts w:ascii="黑体" w:hAnsi="黑体" w:eastAsia="黑体"/>
          <w:sz w:val="52"/>
        </w:rPr>
      </w:pPr>
      <w:r>
        <w:rPr>
          <w:rFonts w:hint="eastAsia" w:ascii="黑体" w:hAnsi="黑体" w:eastAsia="黑体"/>
          <w:sz w:val="52"/>
        </w:rPr>
        <w:t>产品生命周期</w:t>
      </w:r>
      <w:r>
        <w:rPr>
          <w:rFonts w:ascii="黑体" w:hAnsi="黑体" w:eastAsia="黑体"/>
          <w:sz w:val="52"/>
        </w:rPr>
        <w:t>系统</w:t>
      </w:r>
    </w:p>
    <w:p>
      <w:pPr>
        <w:spacing w:line="360" w:lineRule="auto"/>
        <w:jc w:val="center"/>
        <w:rPr>
          <w:rFonts w:ascii="黑体" w:hAnsi="黑体" w:eastAsia="黑体"/>
          <w:sz w:val="40"/>
        </w:rPr>
      </w:pPr>
      <w:r>
        <w:rPr>
          <w:rFonts w:hint="eastAsia" w:ascii="黑体" w:hAnsi="黑体" w:eastAsia="黑体"/>
          <w:sz w:val="40"/>
        </w:rPr>
        <w:t>（操作手册）</w:t>
      </w:r>
    </w:p>
    <w:p>
      <w:pPr>
        <w:spacing w:line="360" w:lineRule="auto"/>
        <w:jc w:val="center"/>
        <w:rPr>
          <w:rFonts w:ascii="黑体" w:hAnsi="黑体" w:eastAsia="黑体"/>
          <w:sz w:val="44"/>
        </w:rPr>
      </w:pPr>
    </w:p>
    <w:p>
      <w:pPr>
        <w:spacing w:line="360" w:lineRule="auto"/>
        <w:jc w:val="center"/>
        <w:rPr>
          <w:rFonts w:ascii="黑体" w:hAnsi="黑体" w:eastAsia="黑体"/>
          <w:sz w:val="44"/>
        </w:rPr>
      </w:pPr>
    </w:p>
    <w:p>
      <w:pPr>
        <w:spacing w:line="360" w:lineRule="auto"/>
        <w:jc w:val="center"/>
        <w:rPr>
          <w:rFonts w:ascii="黑体" w:hAnsi="黑体" w:eastAsia="黑体"/>
          <w:sz w:val="44"/>
        </w:rPr>
      </w:pPr>
    </w:p>
    <w:p>
      <w:pPr>
        <w:spacing w:line="360" w:lineRule="auto"/>
        <w:jc w:val="center"/>
        <w:rPr>
          <w:rFonts w:ascii="黑体" w:hAnsi="黑体" w:eastAsia="黑体"/>
          <w:sz w:val="44"/>
        </w:rPr>
      </w:pPr>
    </w:p>
    <w:p>
      <w:pPr>
        <w:spacing w:line="360" w:lineRule="auto"/>
        <w:jc w:val="center"/>
        <w:rPr>
          <w:rFonts w:ascii="黑体" w:hAnsi="黑体" w:eastAsia="黑体"/>
          <w:sz w:val="44"/>
        </w:rPr>
      </w:pPr>
    </w:p>
    <w:p>
      <w:pPr>
        <w:spacing w:line="360" w:lineRule="auto"/>
        <w:jc w:val="center"/>
        <w:rPr>
          <w:rFonts w:ascii="黑体" w:hAnsi="黑体" w:eastAsia="黑体"/>
          <w:sz w:val="44"/>
        </w:rPr>
      </w:pPr>
    </w:p>
    <w:p>
      <w:pPr>
        <w:spacing w:line="360" w:lineRule="auto"/>
        <w:jc w:val="center"/>
        <w:rPr>
          <w:rFonts w:ascii="黑体" w:hAnsi="黑体" w:eastAsia="黑体"/>
          <w:sz w:val="44"/>
        </w:rPr>
      </w:pPr>
    </w:p>
    <w:p>
      <w:pPr>
        <w:spacing w:line="360" w:lineRule="auto"/>
        <w:jc w:val="center"/>
        <w:rPr>
          <w:rFonts w:ascii="黑体" w:hAnsi="黑体" w:eastAsia="黑体"/>
          <w:sz w:val="44"/>
        </w:rPr>
      </w:pPr>
    </w:p>
    <w:p>
      <w:pPr>
        <w:spacing w:line="360" w:lineRule="auto"/>
        <w:jc w:val="center"/>
        <w:rPr>
          <w:rFonts w:ascii="黑体" w:hAnsi="黑体" w:eastAsia="黑体"/>
          <w:sz w:val="44"/>
        </w:rPr>
      </w:pPr>
    </w:p>
    <w:p>
      <w:pPr>
        <w:spacing w:line="360" w:lineRule="auto"/>
        <w:jc w:val="center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8"/>
        </w:rPr>
        <w:t>2017年1</w:t>
      </w:r>
      <w:r>
        <w:rPr>
          <w:rFonts w:hint="eastAsia" w:ascii="黑体" w:hAnsi="黑体" w:eastAsia="黑体"/>
          <w:sz w:val="28"/>
          <w:lang w:val="en-US" w:eastAsia="zh-CN"/>
        </w:rPr>
        <w:t>2</w:t>
      </w:r>
      <w:r>
        <w:rPr>
          <w:rFonts w:hint="eastAsia" w:ascii="黑体" w:hAnsi="黑体" w:eastAsia="黑体"/>
          <w:sz w:val="28"/>
        </w:rPr>
        <w:t>月</w:t>
      </w:r>
    </w:p>
    <w:p>
      <w:pPr>
        <w:spacing w:line="360" w:lineRule="auto"/>
        <w:jc w:val="center"/>
        <w:rPr>
          <w:rFonts w:ascii="黑体" w:hAnsi="黑体" w:eastAsia="黑体"/>
          <w:sz w:val="28"/>
        </w:rPr>
      </w:pPr>
      <w:r>
        <w:rPr>
          <w:rFonts w:hint="eastAsia" w:ascii="黑体" w:hAnsi="黑体" w:eastAsia="黑体"/>
          <w:sz w:val="28"/>
        </w:rPr>
        <w:t>深圳市</w:t>
      </w:r>
      <w:r>
        <w:rPr>
          <w:rFonts w:ascii="黑体" w:hAnsi="黑体" w:eastAsia="黑体"/>
          <w:sz w:val="28"/>
        </w:rPr>
        <w:t>赢时胜信息技术股份有限公司</w:t>
      </w:r>
    </w:p>
    <w:p>
      <w:pPr>
        <w:spacing w:line="360" w:lineRule="auto"/>
        <w:jc w:val="center"/>
        <w:rPr>
          <w:rFonts w:hint="eastAsia" w:ascii="黑体" w:hAnsi="黑体" w:eastAsia="黑体"/>
          <w:sz w:val="28"/>
          <w:lang w:eastAsia="zh-CN"/>
        </w:rPr>
      </w:pPr>
      <w:r>
        <w:rPr>
          <w:rFonts w:ascii="黑体" w:hAnsi="黑体" w:eastAsia="黑体"/>
          <w:sz w:val="28"/>
        </w:rPr>
        <w:br w:type="page"/>
      </w:r>
      <w:r>
        <w:rPr>
          <w:rFonts w:hint="eastAsia" w:ascii="黑体" w:hAnsi="黑体" w:eastAsia="黑体"/>
          <w:sz w:val="28"/>
          <w:lang w:eastAsia="zh-CN"/>
        </w:rPr>
        <w:t>目录</w:t>
      </w:r>
    </w:p>
    <w:p>
      <w:pPr>
        <w:pStyle w:val="1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  <w:sz w:val="28"/>
        </w:rPr>
        <w:fldChar w:fldCharType="begin"/>
      </w:r>
      <w:r>
        <w:rPr>
          <w:rFonts w:ascii="黑体" w:hAnsi="黑体" w:eastAsia="黑体"/>
          <w:sz w:val="28"/>
        </w:rPr>
        <w:instrText xml:space="preserve">TOC \o "1-3" \h \u </w:instrText>
      </w:r>
      <w:r>
        <w:rPr>
          <w:rFonts w:ascii="黑体" w:hAnsi="黑体" w:eastAsia="黑体"/>
          <w:sz w:val="28"/>
        </w:rPr>
        <w:fldChar w:fldCharType="separate"/>
      </w: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_Toc1606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32"/>
        </w:rPr>
        <w:t xml:space="preserve">1. </w:t>
      </w:r>
      <w:r>
        <w:rPr>
          <w:rFonts w:hint="eastAsia"/>
          <w:szCs w:val="32"/>
        </w:rPr>
        <w:t>引言</w:t>
      </w:r>
      <w:r>
        <w:tab/>
      </w:r>
      <w:r>
        <w:fldChar w:fldCharType="begin"/>
      </w:r>
      <w:r>
        <w:instrText xml:space="preserve"> PAGEREF _Toc1606 </w:instrText>
      </w:r>
      <w:r>
        <w:fldChar w:fldCharType="separate"/>
      </w:r>
      <w:r>
        <w:t>4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_Toc10081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28"/>
          <w:lang w:eastAsia="zh-CN"/>
        </w:rPr>
        <w:t xml:space="preserve">1.1. </w:t>
      </w:r>
      <w:r>
        <w:rPr>
          <w:rFonts w:hint="eastAsia"/>
          <w:szCs w:val="28"/>
        </w:rPr>
        <w:t>目的</w:t>
      </w:r>
      <w:r>
        <w:tab/>
      </w:r>
      <w:r>
        <w:fldChar w:fldCharType="begin"/>
      </w:r>
      <w:r>
        <w:instrText xml:space="preserve"> PAGEREF _Toc10081 </w:instrText>
      </w:r>
      <w:r>
        <w:fldChar w:fldCharType="separate"/>
      </w:r>
      <w:r>
        <w:t>4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_Toc31597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28"/>
        </w:rPr>
        <w:t xml:space="preserve">1.2. </w:t>
      </w:r>
      <w:r>
        <w:rPr>
          <w:rFonts w:hint="eastAsia"/>
          <w:szCs w:val="28"/>
        </w:rPr>
        <w:t>使用用户</w:t>
      </w:r>
      <w:r>
        <w:tab/>
      </w:r>
      <w:r>
        <w:fldChar w:fldCharType="begin"/>
      </w:r>
      <w:r>
        <w:instrText xml:space="preserve"> PAGEREF _Toc31597 </w:instrText>
      </w:r>
      <w:r>
        <w:fldChar w:fldCharType="separate"/>
      </w:r>
      <w:r>
        <w:t>4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_Toc16095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32"/>
        </w:rPr>
        <w:t xml:space="preserve">2. </w:t>
      </w:r>
      <w:r>
        <w:rPr>
          <w:rFonts w:hint="eastAsia"/>
          <w:szCs w:val="32"/>
          <w:lang w:eastAsia="zh-CN"/>
        </w:rPr>
        <w:t>功能列表</w:t>
      </w:r>
      <w:r>
        <w:tab/>
      </w:r>
      <w:r>
        <w:fldChar w:fldCharType="begin"/>
      </w:r>
      <w:r>
        <w:instrText xml:space="preserve"> PAGEREF _Toc16095 </w:instrText>
      </w:r>
      <w:r>
        <w:fldChar w:fldCharType="separate"/>
      </w:r>
      <w:r>
        <w:t>5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_Toc17590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32"/>
          <w:lang w:eastAsia="zh-CN"/>
        </w:rPr>
        <w:t xml:space="preserve">3. </w:t>
      </w:r>
      <w:r>
        <w:rPr>
          <w:rFonts w:hint="eastAsia"/>
          <w:szCs w:val="32"/>
          <w:lang w:eastAsia="zh-CN"/>
        </w:rPr>
        <w:t>系统登录</w:t>
      </w:r>
      <w:r>
        <w:tab/>
      </w:r>
      <w:r>
        <w:fldChar w:fldCharType="begin"/>
      </w:r>
      <w:r>
        <w:instrText xml:space="preserve"> PAGEREF _Toc17590 </w:instrText>
      </w:r>
      <w:r>
        <w:fldChar w:fldCharType="separate"/>
      </w:r>
      <w:r>
        <w:t>6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_Toc21982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32"/>
          <w:lang w:val="en-US" w:eastAsia="zh-CN"/>
        </w:rPr>
        <w:t xml:space="preserve">4. </w:t>
      </w:r>
      <w:r>
        <w:rPr>
          <w:rFonts w:hint="eastAsia"/>
          <w:szCs w:val="32"/>
          <w:lang w:val="en-US" w:eastAsia="zh-CN"/>
        </w:rPr>
        <w:t>产品管理</w:t>
      </w:r>
      <w:r>
        <w:tab/>
      </w:r>
      <w:r>
        <w:fldChar w:fldCharType="begin"/>
      </w:r>
      <w:r>
        <w:instrText xml:space="preserve"> PAGEREF _Toc21982 </w:instrText>
      </w:r>
      <w:r>
        <w:fldChar w:fldCharType="separate"/>
      </w:r>
      <w:r>
        <w:t>7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_Toc16587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28"/>
          <w:lang w:val="en-US" w:eastAsia="zh-CN"/>
        </w:rPr>
        <w:t xml:space="preserve">4.1. </w:t>
      </w:r>
      <w:r>
        <w:rPr>
          <w:rFonts w:hint="eastAsia"/>
          <w:szCs w:val="28"/>
          <w:lang w:val="en-US" w:eastAsia="zh-CN"/>
        </w:rPr>
        <w:t>公募基金</w:t>
      </w:r>
      <w:r>
        <w:tab/>
      </w:r>
      <w:r>
        <w:fldChar w:fldCharType="begin"/>
      </w:r>
      <w:r>
        <w:instrText xml:space="preserve"> PAGEREF _Toc16587 </w:instrText>
      </w:r>
      <w:r>
        <w:fldChar w:fldCharType="separate"/>
      </w:r>
      <w:r>
        <w:t>7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_Toc20874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公募基金主界面</w:t>
      </w:r>
      <w:r>
        <w:tab/>
      </w:r>
      <w:r>
        <w:fldChar w:fldCharType="begin"/>
      </w:r>
      <w:r>
        <w:instrText xml:space="preserve"> PAGEREF _Toc20874 </w:instrText>
      </w:r>
      <w:r>
        <w:fldChar w:fldCharType="separate"/>
      </w:r>
      <w:r>
        <w:t>7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_Toc25771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bCs/>
          <w:lang w:eastAsia="zh-CN"/>
        </w:rPr>
        <w:t xml:space="preserve">4.1.2. </w:t>
      </w:r>
      <w:r>
        <w:rPr>
          <w:rFonts w:hint="eastAsia"/>
          <w:lang w:val="en-US" w:eastAsia="zh-CN"/>
        </w:rPr>
        <w:t>公募基金维护</w:t>
      </w:r>
      <w:r>
        <w:tab/>
      </w:r>
      <w:r>
        <w:fldChar w:fldCharType="begin"/>
      </w:r>
      <w:r>
        <w:instrText xml:space="preserve"> PAGEREF _Toc25771 </w:instrText>
      </w:r>
      <w:r>
        <w:fldChar w:fldCharType="separate"/>
      </w:r>
      <w:r>
        <w:t>8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_Toc27996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28"/>
          <w:lang w:val="en-US" w:eastAsia="zh-CN"/>
        </w:rPr>
        <w:t xml:space="preserve">4.2. </w:t>
      </w:r>
      <w:r>
        <w:rPr>
          <w:rFonts w:hint="eastAsia"/>
          <w:szCs w:val="28"/>
          <w:lang w:val="en-US" w:eastAsia="zh-CN"/>
        </w:rPr>
        <w:t>专户产品</w:t>
      </w:r>
      <w:r>
        <w:tab/>
      </w:r>
      <w:r>
        <w:fldChar w:fldCharType="begin"/>
      </w:r>
      <w:r>
        <w:instrText xml:space="preserve"> PAGEREF _Toc27996 </w:instrText>
      </w:r>
      <w:r>
        <w:fldChar w:fldCharType="separate"/>
      </w:r>
      <w:r>
        <w:t>12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_Toc5758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4.2.1. </w:t>
      </w:r>
      <w:r>
        <w:rPr>
          <w:rFonts w:hint="eastAsia"/>
          <w:lang w:val="en-US" w:eastAsia="zh-CN"/>
        </w:rPr>
        <w:t>专户产品主界面</w:t>
      </w:r>
      <w:r>
        <w:tab/>
      </w:r>
      <w:r>
        <w:fldChar w:fldCharType="begin"/>
      </w:r>
      <w:r>
        <w:instrText xml:space="preserve"> PAGEREF _Toc5758 </w:instrText>
      </w:r>
      <w:r>
        <w:fldChar w:fldCharType="separate"/>
      </w:r>
      <w:r>
        <w:t>12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400"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_Toc29993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4.2.2. </w:t>
      </w:r>
      <w:r>
        <w:rPr>
          <w:rFonts w:hint="eastAsia"/>
          <w:lang w:val="en-US" w:eastAsia="zh-CN"/>
        </w:rPr>
        <w:t>专户产品维护</w:t>
      </w:r>
      <w:r>
        <w:tab/>
      </w:r>
      <w:r>
        <w:fldChar w:fldCharType="begin"/>
      </w:r>
      <w:r>
        <w:instrText xml:space="preserve"> PAGEREF _Toc29993 </w:instrText>
      </w:r>
      <w:r>
        <w:fldChar w:fldCharType="separate"/>
      </w:r>
      <w:r>
        <w:t>13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_Toc8167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28"/>
          <w:lang w:val="en-US" w:eastAsia="zh-CN"/>
        </w:rPr>
        <w:t xml:space="preserve">4.3. </w:t>
      </w:r>
      <w:r>
        <w:rPr>
          <w:rFonts w:hint="eastAsia"/>
          <w:szCs w:val="28"/>
          <w:lang w:val="en-US" w:eastAsia="zh-CN"/>
        </w:rPr>
        <w:t>产品分级信息</w:t>
      </w:r>
      <w:r>
        <w:tab/>
      </w:r>
      <w:r>
        <w:fldChar w:fldCharType="begin"/>
      </w:r>
      <w:r>
        <w:instrText xml:space="preserve"> PAGEREF _Toc8167 </w:instrText>
      </w:r>
      <w:r>
        <w:fldChar w:fldCharType="separate"/>
      </w:r>
      <w:r>
        <w:t>17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_Toc3232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4.3.1. </w:t>
      </w:r>
      <w:r>
        <w:rPr>
          <w:rFonts w:hint="eastAsia"/>
          <w:lang w:val="en-US" w:eastAsia="zh-CN"/>
        </w:rPr>
        <w:t>产品分级信息主界面</w:t>
      </w:r>
      <w:r>
        <w:tab/>
      </w:r>
      <w:r>
        <w:fldChar w:fldCharType="begin"/>
      </w:r>
      <w:r>
        <w:instrText xml:space="preserve"> PAGEREF _Toc3232 </w:instrText>
      </w:r>
      <w:r>
        <w:fldChar w:fldCharType="separate"/>
      </w:r>
      <w:r>
        <w:t>17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_Toc31753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4.3.2. </w:t>
      </w:r>
      <w:r>
        <w:rPr>
          <w:rFonts w:hint="eastAsia"/>
          <w:lang w:val="en-US" w:eastAsia="zh-CN"/>
        </w:rPr>
        <w:t>产品分级信息维护</w:t>
      </w:r>
      <w:r>
        <w:tab/>
      </w:r>
      <w:r>
        <w:fldChar w:fldCharType="begin"/>
      </w:r>
      <w:r>
        <w:instrText xml:space="preserve"> PAGEREF _Toc31753 </w:instrText>
      </w:r>
      <w:r>
        <w:fldChar w:fldCharType="separate"/>
      </w:r>
      <w:r>
        <w:t>18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_Toc22468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32"/>
          <w:lang w:eastAsia="zh-CN"/>
        </w:rPr>
        <w:t xml:space="preserve">5. </w:t>
      </w:r>
      <w:r>
        <w:rPr>
          <w:rFonts w:hint="eastAsia"/>
          <w:szCs w:val="32"/>
          <w:lang w:eastAsia="zh-CN"/>
        </w:rPr>
        <w:t>账户管理</w:t>
      </w:r>
      <w:r>
        <w:tab/>
      </w:r>
      <w:r>
        <w:fldChar w:fldCharType="begin"/>
      </w:r>
      <w:r>
        <w:instrText xml:space="preserve"> PAGEREF _Toc22468 </w:instrText>
      </w:r>
      <w:r>
        <w:fldChar w:fldCharType="separate"/>
      </w:r>
      <w:r>
        <w:t>20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_Toc9884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28"/>
          <w:lang w:eastAsia="zh-CN"/>
        </w:rPr>
        <w:t xml:space="preserve">5.1. </w:t>
      </w:r>
      <w:r>
        <w:rPr>
          <w:rFonts w:hint="eastAsia"/>
          <w:szCs w:val="28"/>
          <w:lang w:eastAsia="zh-CN"/>
        </w:rPr>
        <w:t>账户管理主界面</w:t>
      </w:r>
      <w:r>
        <w:tab/>
      </w:r>
      <w:r>
        <w:fldChar w:fldCharType="begin"/>
      </w:r>
      <w:r>
        <w:instrText xml:space="preserve"> PAGEREF _Toc9884 </w:instrText>
      </w:r>
      <w:r>
        <w:fldChar w:fldCharType="separate"/>
      </w:r>
      <w:r>
        <w:t>20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_Toc13350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28"/>
        </w:rPr>
        <w:t xml:space="preserve">5.2. </w:t>
      </w:r>
      <w:r>
        <w:rPr>
          <w:rFonts w:hint="eastAsia"/>
          <w:szCs w:val="28"/>
          <w:lang w:eastAsia="zh-CN"/>
        </w:rPr>
        <w:t>账户信息</w:t>
      </w:r>
      <w:r>
        <w:rPr>
          <w:rFonts w:hint="eastAsia"/>
          <w:szCs w:val="28"/>
        </w:rPr>
        <w:t>维护</w:t>
      </w:r>
      <w:r>
        <w:tab/>
      </w:r>
      <w:r>
        <w:fldChar w:fldCharType="begin"/>
      </w:r>
      <w:r>
        <w:instrText xml:space="preserve"> PAGEREF _Toc13350 </w:instrText>
      </w:r>
      <w:r>
        <w:fldChar w:fldCharType="separate"/>
      </w:r>
      <w:r>
        <w:t>22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_Toc31941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5.2.1. </w:t>
      </w:r>
      <w:r>
        <w:rPr>
          <w:rFonts w:hint="eastAsia"/>
          <w:lang w:val="en-US" w:eastAsia="zh-CN"/>
        </w:rPr>
        <w:t>公司账户</w:t>
      </w:r>
      <w:r>
        <w:tab/>
      </w:r>
      <w:r>
        <w:fldChar w:fldCharType="begin"/>
      </w:r>
      <w:r>
        <w:instrText xml:space="preserve"> PAGEREF _Toc31941 </w:instrText>
      </w:r>
      <w:r>
        <w:fldChar w:fldCharType="separate"/>
      </w:r>
      <w:r>
        <w:t>23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_Toc28898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5.2.2. </w:t>
      </w:r>
      <w:r>
        <w:rPr>
          <w:rFonts w:hint="eastAsia"/>
          <w:lang w:val="en-US" w:eastAsia="zh-CN"/>
        </w:rPr>
        <w:t>账户通用界面（1）</w:t>
      </w:r>
      <w:r>
        <w:tab/>
      </w:r>
      <w:r>
        <w:fldChar w:fldCharType="begin"/>
      </w:r>
      <w:r>
        <w:instrText xml:space="preserve"> PAGEREF _Toc28898 </w:instrText>
      </w:r>
      <w:r>
        <w:fldChar w:fldCharType="separate"/>
      </w:r>
      <w:r>
        <w:t>25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_Toc1420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</w:rPr>
        <w:t xml:space="preserve">5.2.3. </w:t>
      </w:r>
      <w:r>
        <w:rPr>
          <w:rFonts w:hint="eastAsia"/>
          <w:lang w:val="en-US" w:eastAsia="zh-CN"/>
        </w:rPr>
        <w:t>账户通用界面（2）</w:t>
      </w:r>
      <w:r>
        <w:tab/>
      </w:r>
      <w:r>
        <w:fldChar w:fldCharType="begin"/>
      </w:r>
      <w:r>
        <w:instrText xml:space="preserve"> PAGEREF _Toc1420 </w:instrText>
      </w:r>
      <w:r>
        <w:fldChar w:fldCharType="separate"/>
      </w:r>
      <w:r>
        <w:t>26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_Toc9144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5.2.4. </w:t>
      </w:r>
      <w:r>
        <w:rPr>
          <w:rFonts w:hint="eastAsia"/>
          <w:lang w:val="en-US" w:eastAsia="zh-CN"/>
        </w:rPr>
        <w:t>券商佣金账户</w:t>
      </w:r>
      <w:r>
        <w:tab/>
      </w:r>
      <w:r>
        <w:fldChar w:fldCharType="begin"/>
      </w:r>
      <w:r>
        <w:instrText xml:space="preserve"> PAGEREF _Toc9144 </w:instrText>
      </w:r>
      <w:r>
        <w:fldChar w:fldCharType="separate"/>
      </w:r>
      <w:r>
        <w:t>28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_Toc26406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5.2.5. </w:t>
      </w:r>
      <w:r>
        <w:rPr>
          <w:rFonts w:hint="eastAsia"/>
          <w:lang w:val="en-US" w:eastAsia="zh-CN"/>
        </w:rPr>
        <w:t>上市费账户</w:t>
      </w:r>
      <w:r>
        <w:tab/>
      </w:r>
      <w:r>
        <w:fldChar w:fldCharType="begin"/>
      </w:r>
      <w:r>
        <w:instrText xml:space="preserve"> PAGEREF _Toc26406 </w:instrText>
      </w:r>
      <w:r>
        <w:fldChar w:fldCharType="separate"/>
      </w:r>
      <w:r>
        <w:t>29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_Toc27573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5.2.6. </w:t>
      </w:r>
      <w:r>
        <w:rPr>
          <w:rFonts w:hint="eastAsia"/>
          <w:lang w:val="en-US" w:eastAsia="zh-CN"/>
        </w:rPr>
        <w:t>托管户</w:t>
      </w:r>
      <w:r>
        <w:tab/>
      </w:r>
      <w:r>
        <w:fldChar w:fldCharType="begin"/>
      </w:r>
      <w:r>
        <w:instrText xml:space="preserve"> PAGEREF _Toc27573 </w:instrText>
      </w:r>
      <w:r>
        <w:fldChar w:fldCharType="separate"/>
      </w:r>
      <w:r>
        <w:t>30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_Toc14191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5.2.7. </w:t>
      </w:r>
      <w:r>
        <w:rPr>
          <w:rFonts w:hint="eastAsia"/>
          <w:lang w:val="en-US" w:eastAsia="zh-CN"/>
        </w:rPr>
        <w:t>存款账户</w:t>
      </w:r>
      <w:r>
        <w:tab/>
      </w:r>
      <w:r>
        <w:fldChar w:fldCharType="begin"/>
      </w:r>
      <w:r>
        <w:instrText xml:space="preserve"> PAGEREF _Toc14191 </w:instrText>
      </w:r>
      <w:r>
        <w:fldChar w:fldCharType="separate"/>
      </w:r>
      <w:r>
        <w:t>32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_Toc13888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5.2.8. </w:t>
      </w:r>
      <w:r>
        <w:rPr>
          <w:rFonts w:hint="eastAsia"/>
          <w:lang w:val="en-US" w:eastAsia="zh-CN"/>
        </w:rPr>
        <w:t>证券保证金账户</w:t>
      </w:r>
      <w:r>
        <w:tab/>
      </w:r>
      <w:r>
        <w:fldChar w:fldCharType="begin"/>
      </w:r>
      <w:r>
        <w:instrText xml:space="preserve"> PAGEREF _Toc13888 </w:instrText>
      </w:r>
      <w:r>
        <w:fldChar w:fldCharType="separate"/>
      </w:r>
      <w:r>
        <w:t>34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_Toc2369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5.2.9. </w:t>
      </w:r>
      <w:r>
        <w:rPr>
          <w:rFonts w:hint="eastAsia"/>
          <w:lang w:val="en-US" w:eastAsia="zh-CN"/>
        </w:rPr>
        <w:t>中登账户</w:t>
      </w:r>
      <w:r>
        <w:tab/>
      </w:r>
      <w:r>
        <w:fldChar w:fldCharType="begin"/>
      </w:r>
      <w:r>
        <w:instrText xml:space="preserve"> PAGEREF _Toc2369 </w:instrText>
      </w:r>
      <w:r>
        <w:fldChar w:fldCharType="separate"/>
      </w:r>
      <w:r>
        <w:t>36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_Toc402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eastAsia="zh-CN"/>
        </w:rPr>
        <w:t xml:space="preserve">5.2.10. </w:t>
      </w:r>
      <w:r>
        <w:rPr>
          <w:rFonts w:hint="eastAsia"/>
          <w:lang w:eastAsia="zh-CN"/>
        </w:rPr>
        <w:t>证券账户</w:t>
      </w:r>
      <w:r>
        <w:tab/>
      </w:r>
      <w:r>
        <w:fldChar w:fldCharType="begin"/>
      </w:r>
      <w:r>
        <w:instrText xml:space="preserve"> PAGEREF _Toc402 </w:instrText>
      </w:r>
      <w:r>
        <w:fldChar w:fldCharType="separate"/>
      </w:r>
      <w:r>
        <w:t>38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_Toc26005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5.2.11. </w:t>
      </w:r>
      <w:r>
        <w:rPr>
          <w:rFonts w:hint="eastAsia"/>
          <w:lang w:val="en-US" w:eastAsia="zh-CN"/>
        </w:rPr>
        <w:t>基金账户</w:t>
      </w:r>
      <w:r>
        <w:tab/>
      </w:r>
      <w:r>
        <w:fldChar w:fldCharType="begin"/>
      </w:r>
      <w:r>
        <w:instrText xml:space="preserve"> PAGEREF _Toc26005 </w:instrText>
      </w:r>
      <w:r>
        <w:fldChar w:fldCharType="separate"/>
      </w:r>
      <w:r>
        <w:t>40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_Toc12251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5.2.12. </w:t>
      </w:r>
      <w:r>
        <w:rPr>
          <w:rFonts w:hint="eastAsia"/>
          <w:lang w:val="en-US" w:eastAsia="zh-CN"/>
        </w:rPr>
        <w:t>期货账户</w:t>
      </w:r>
      <w:r>
        <w:tab/>
      </w:r>
      <w:r>
        <w:fldChar w:fldCharType="begin"/>
      </w:r>
      <w:r>
        <w:instrText xml:space="preserve"> PAGEREF _Toc12251 </w:instrText>
      </w:r>
      <w:r>
        <w:fldChar w:fldCharType="separate"/>
      </w:r>
      <w:r>
        <w:t>41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_Toc5771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5.2.13. </w:t>
      </w:r>
      <w:r>
        <w:rPr>
          <w:rFonts w:hint="eastAsia"/>
          <w:lang w:eastAsia="zh-CN"/>
        </w:rPr>
        <w:t>直销账户</w:t>
      </w:r>
      <w:r>
        <w:tab/>
      </w:r>
      <w:r>
        <w:fldChar w:fldCharType="begin"/>
      </w:r>
      <w:r>
        <w:instrText xml:space="preserve"> PAGEREF _Toc5771 </w:instrText>
      </w:r>
      <w:r>
        <w:fldChar w:fldCharType="separate"/>
      </w:r>
      <w:r>
        <w:t>44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_Toc22692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5.2.14. </w:t>
      </w:r>
      <w:r>
        <w:rPr>
          <w:rFonts w:hint="eastAsia"/>
          <w:lang w:val="en-US" w:eastAsia="zh-CN"/>
        </w:rPr>
        <w:t>中债银行间债券账户</w:t>
      </w:r>
      <w:r>
        <w:tab/>
      </w:r>
      <w:r>
        <w:fldChar w:fldCharType="begin"/>
      </w:r>
      <w:r>
        <w:instrText xml:space="preserve"> PAGEREF _Toc22692 </w:instrText>
      </w:r>
      <w:r>
        <w:fldChar w:fldCharType="separate"/>
      </w:r>
      <w:r>
        <w:t>45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_Toc7116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5.2.15. </w:t>
      </w:r>
      <w:r>
        <w:rPr>
          <w:rFonts w:hint="eastAsia"/>
          <w:lang w:val="en-US" w:eastAsia="zh-CN"/>
        </w:rPr>
        <w:t>上清所银行间债券账户</w:t>
      </w:r>
      <w:r>
        <w:tab/>
      </w:r>
      <w:r>
        <w:fldChar w:fldCharType="begin"/>
      </w:r>
      <w:r>
        <w:instrText xml:space="preserve"> PAGEREF _Toc7116 </w:instrText>
      </w:r>
      <w:r>
        <w:fldChar w:fldCharType="separate"/>
      </w:r>
      <w:r>
        <w:t>47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4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_Toc12846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32"/>
          <w:lang w:val="en-US" w:eastAsia="zh-CN"/>
        </w:rPr>
        <w:t xml:space="preserve">6. </w:t>
      </w:r>
      <w:r>
        <w:rPr>
          <w:rFonts w:hint="eastAsia"/>
          <w:szCs w:val="32"/>
          <w:lang w:val="en-US" w:eastAsia="zh-CN"/>
        </w:rPr>
        <w:t>公共功能</w:t>
      </w:r>
      <w:r>
        <w:tab/>
      </w:r>
      <w:r>
        <w:fldChar w:fldCharType="begin"/>
      </w:r>
      <w:r>
        <w:instrText xml:space="preserve"> PAGEREF _Toc12846 </w:instrText>
      </w:r>
      <w:r>
        <w:fldChar w:fldCharType="separate"/>
      </w:r>
      <w:r>
        <w:t>50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_Toc6884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28"/>
          <w:lang w:val="en-US" w:eastAsia="zh-CN"/>
        </w:rPr>
        <w:t xml:space="preserve">6.1. </w:t>
      </w:r>
      <w:r>
        <w:rPr>
          <w:rFonts w:hint="eastAsia"/>
          <w:szCs w:val="28"/>
          <w:lang w:val="en-US" w:eastAsia="zh-CN"/>
        </w:rPr>
        <w:t>产品干系人</w:t>
      </w:r>
      <w:r>
        <w:tab/>
      </w:r>
      <w:r>
        <w:fldChar w:fldCharType="begin"/>
      </w:r>
      <w:r>
        <w:instrText xml:space="preserve"> PAGEREF _Toc6884 </w:instrText>
      </w:r>
      <w:r>
        <w:fldChar w:fldCharType="separate"/>
      </w:r>
      <w:r>
        <w:t>50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_Toc15072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6.1.1. </w:t>
      </w:r>
      <w:r>
        <w:rPr>
          <w:rFonts w:hint="eastAsia"/>
          <w:lang w:val="en-US" w:eastAsia="zh-CN"/>
        </w:rPr>
        <w:t>产品干系人主界面</w:t>
      </w:r>
      <w:r>
        <w:tab/>
      </w:r>
      <w:r>
        <w:fldChar w:fldCharType="begin"/>
      </w:r>
      <w:r>
        <w:instrText xml:space="preserve"> PAGEREF _Toc15072 </w:instrText>
      </w:r>
      <w:r>
        <w:fldChar w:fldCharType="separate"/>
      </w:r>
      <w:r>
        <w:t>50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_Toc29572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6.1.2. </w:t>
      </w:r>
      <w:r>
        <w:rPr>
          <w:rFonts w:hint="eastAsia"/>
          <w:lang w:val="en-US" w:eastAsia="zh-CN"/>
        </w:rPr>
        <w:t>基金经理/基金经理助理</w:t>
      </w:r>
      <w:r>
        <w:tab/>
      </w:r>
      <w:r>
        <w:fldChar w:fldCharType="begin"/>
      </w:r>
      <w:r>
        <w:instrText xml:space="preserve"> PAGEREF _Toc29572 </w:instrText>
      </w:r>
      <w:r>
        <w:fldChar w:fldCharType="separate"/>
      </w:r>
      <w:r>
        <w:t>51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_Toc19197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6.1.3. </w:t>
      </w:r>
      <w:r>
        <w:rPr>
          <w:rFonts w:hint="eastAsia"/>
          <w:lang w:val="en-US" w:eastAsia="zh-CN"/>
        </w:rPr>
        <w:t>内部干系人</w:t>
      </w:r>
      <w:r>
        <w:tab/>
      </w:r>
      <w:r>
        <w:fldChar w:fldCharType="begin"/>
      </w:r>
      <w:r>
        <w:instrText xml:space="preserve"> PAGEREF _Toc19197 </w:instrText>
      </w:r>
      <w:r>
        <w:fldChar w:fldCharType="separate"/>
      </w:r>
      <w:r>
        <w:t>54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_Toc7892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6.1.4. </w:t>
      </w:r>
      <w:r>
        <w:rPr>
          <w:rFonts w:hint="eastAsia"/>
          <w:lang w:val="en-US" w:eastAsia="zh-CN"/>
        </w:rPr>
        <w:t>外部干系人维护</w:t>
      </w:r>
      <w:r>
        <w:tab/>
      </w:r>
      <w:r>
        <w:fldChar w:fldCharType="begin"/>
      </w:r>
      <w:r>
        <w:instrText xml:space="preserve"> PAGEREF _Toc7892 </w:instrText>
      </w:r>
      <w:r>
        <w:fldChar w:fldCharType="separate"/>
      </w:r>
      <w:r>
        <w:t>55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_Toc14651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28"/>
          <w:lang w:val="en-US" w:eastAsia="zh-CN"/>
        </w:rPr>
        <w:t xml:space="preserve">6.2. </w:t>
      </w:r>
      <w:r>
        <w:rPr>
          <w:rFonts w:hint="eastAsia"/>
          <w:szCs w:val="28"/>
          <w:lang w:val="en-US" w:eastAsia="zh-CN"/>
        </w:rPr>
        <w:t>投研人员管理</w:t>
      </w:r>
      <w:r>
        <w:tab/>
      </w:r>
      <w:r>
        <w:fldChar w:fldCharType="begin"/>
      </w:r>
      <w:r>
        <w:instrText xml:space="preserve"> PAGEREF _Toc14651 </w:instrText>
      </w:r>
      <w:r>
        <w:fldChar w:fldCharType="separate"/>
      </w:r>
      <w:r>
        <w:t>57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_Toc31281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6.2.1. </w:t>
      </w:r>
      <w:r>
        <w:rPr>
          <w:rFonts w:hint="eastAsia"/>
          <w:lang w:val="en-US" w:eastAsia="zh-CN"/>
        </w:rPr>
        <w:t>投研人员管理主界面</w:t>
      </w:r>
      <w:r>
        <w:tab/>
      </w:r>
      <w:r>
        <w:fldChar w:fldCharType="begin"/>
      </w:r>
      <w:r>
        <w:instrText xml:space="preserve"> PAGEREF _Toc31281 </w:instrText>
      </w:r>
      <w:r>
        <w:fldChar w:fldCharType="separate"/>
      </w:r>
      <w:r>
        <w:t>57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_Toc20729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6.2.2. </w:t>
      </w:r>
      <w:r>
        <w:rPr>
          <w:rFonts w:hint="eastAsia"/>
          <w:lang w:val="en-US" w:eastAsia="zh-CN"/>
        </w:rPr>
        <w:t>投研人员信息维护</w:t>
      </w:r>
      <w:r>
        <w:tab/>
      </w:r>
      <w:r>
        <w:fldChar w:fldCharType="begin"/>
      </w:r>
      <w:r>
        <w:instrText xml:space="preserve"> PAGEREF _Toc20729 </w:instrText>
      </w:r>
      <w:r>
        <w:fldChar w:fldCharType="separate"/>
      </w:r>
      <w:r>
        <w:t>59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_Toc24852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6.2.3. </w:t>
      </w:r>
      <w:r>
        <w:rPr>
          <w:rFonts w:hint="eastAsia"/>
          <w:lang w:val="en-US" w:eastAsia="zh-CN"/>
        </w:rPr>
        <w:t>投研人员查看详情</w:t>
      </w:r>
      <w:r>
        <w:tab/>
      </w:r>
      <w:r>
        <w:fldChar w:fldCharType="begin"/>
      </w:r>
      <w:r>
        <w:instrText xml:space="preserve"> PAGEREF _Toc24852 </w:instrText>
      </w:r>
      <w:r>
        <w:fldChar w:fldCharType="separate"/>
      </w:r>
      <w:r>
        <w:t>62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_Toc3867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28"/>
          <w:lang w:val="en-US" w:eastAsia="zh-CN"/>
        </w:rPr>
        <w:t xml:space="preserve">6.3. </w:t>
      </w:r>
      <w:r>
        <w:rPr>
          <w:rFonts w:hint="eastAsia"/>
          <w:szCs w:val="28"/>
          <w:lang w:val="en-US" w:eastAsia="zh-CN"/>
        </w:rPr>
        <w:t>外部人员管理</w:t>
      </w:r>
      <w:r>
        <w:tab/>
      </w:r>
      <w:r>
        <w:fldChar w:fldCharType="begin"/>
      </w:r>
      <w:r>
        <w:instrText xml:space="preserve"> PAGEREF _Toc3867 </w:instrText>
      </w:r>
      <w:r>
        <w:fldChar w:fldCharType="separate"/>
      </w:r>
      <w:r>
        <w:t>63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_Toc22257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6.3.1. </w:t>
      </w:r>
      <w:r>
        <w:rPr>
          <w:rFonts w:hint="eastAsia"/>
          <w:lang w:val="en-US" w:eastAsia="zh-CN"/>
        </w:rPr>
        <w:t>外部人员管理主界面</w:t>
      </w:r>
      <w:r>
        <w:tab/>
      </w:r>
      <w:r>
        <w:fldChar w:fldCharType="begin"/>
      </w:r>
      <w:r>
        <w:instrText xml:space="preserve"> PAGEREF _Toc22257 </w:instrText>
      </w:r>
      <w:r>
        <w:fldChar w:fldCharType="separate"/>
      </w:r>
      <w:r>
        <w:t>63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_Toc730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6.3.2. </w:t>
      </w:r>
      <w:r>
        <w:rPr>
          <w:rFonts w:hint="eastAsia"/>
          <w:lang w:val="en-US" w:eastAsia="zh-CN"/>
        </w:rPr>
        <w:t>外部人员信息维护</w:t>
      </w:r>
      <w:r>
        <w:tab/>
      </w:r>
      <w:r>
        <w:fldChar w:fldCharType="begin"/>
      </w:r>
      <w:r>
        <w:instrText xml:space="preserve"> PAGEREF _Toc730 </w:instrText>
      </w:r>
      <w:r>
        <w:fldChar w:fldCharType="separate"/>
      </w:r>
      <w:r>
        <w:t>64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5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_Toc18768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szCs w:val="28"/>
          <w:lang w:val="en-US" w:eastAsia="zh-CN"/>
        </w:rPr>
        <w:t xml:space="preserve">6.4. </w:t>
      </w:r>
      <w:r>
        <w:rPr>
          <w:rFonts w:hint="eastAsia"/>
          <w:szCs w:val="28"/>
          <w:lang w:val="en-US" w:eastAsia="zh-CN"/>
        </w:rPr>
        <w:t>重大事项揭示</w:t>
      </w:r>
      <w:r>
        <w:tab/>
      </w:r>
      <w:r>
        <w:fldChar w:fldCharType="begin"/>
      </w:r>
      <w:r>
        <w:instrText xml:space="preserve"> PAGEREF _Toc18768 </w:instrText>
      </w:r>
      <w:r>
        <w:fldChar w:fldCharType="separate"/>
      </w:r>
      <w:r>
        <w:t>66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_Toc23052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6.4.1. </w:t>
      </w:r>
      <w:r>
        <w:rPr>
          <w:rFonts w:hint="eastAsia"/>
          <w:lang w:val="en-US" w:eastAsia="zh-CN"/>
        </w:rPr>
        <w:t>重大事项揭示主界面</w:t>
      </w:r>
      <w:r>
        <w:tab/>
      </w:r>
      <w:r>
        <w:fldChar w:fldCharType="begin"/>
      </w:r>
      <w:r>
        <w:instrText xml:space="preserve"> PAGEREF _Toc23052 </w:instrText>
      </w:r>
      <w:r>
        <w:fldChar w:fldCharType="separate"/>
      </w:r>
      <w:r>
        <w:t>66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pStyle w:val="12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0" w:firstLineChars="0"/>
        <w:jc w:val="both"/>
        <w:textAlignment w:val="auto"/>
        <w:outlineLvl w:val="9"/>
      </w:pPr>
      <w:r>
        <w:rPr>
          <w:rFonts w:ascii="黑体" w:hAnsi="黑体" w:eastAsia="黑体"/>
        </w:rPr>
        <w:fldChar w:fldCharType="begin"/>
      </w:r>
      <w:r>
        <w:rPr>
          <w:rFonts w:ascii="黑体" w:hAnsi="黑体" w:eastAsia="黑体"/>
        </w:rPr>
        <w:instrText xml:space="preserve"> HYPERLINK \l _Toc29551 </w:instrText>
      </w:r>
      <w:r>
        <w:rPr>
          <w:rFonts w:ascii="黑体" w:hAnsi="黑体" w:eastAsia="黑体"/>
        </w:rPr>
        <w:fldChar w:fldCharType="separate"/>
      </w:r>
      <w:r>
        <w:rPr>
          <w:rFonts w:hint="default"/>
          <w:lang w:val="en-US" w:eastAsia="zh-CN"/>
        </w:rPr>
        <w:t xml:space="preserve">6.4.2. </w:t>
      </w:r>
      <w:r>
        <w:rPr>
          <w:rFonts w:hint="eastAsia"/>
          <w:lang w:val="en-US" w:eastAsia="zh-CN"/>
        </w:rPr>
        <w:t>重大事项揭示信息维护</w:t>
      </w:r>
      <w:r>
        <w:tab/>
      </w:r>
      <w:r>
        <w:fldChar w:fldCharType="begin"/>
      </w:r>
      <w:r>
        <w:instrText xml:space="preserve"> PAGEREF _Toc29551 </w:instrText>
      </w:r>
      <w:r>
        <w:fldChar w:fldCharType="separate"/>
      </w:r>
      <w:r>
        <w:t>67</w:t>
      </w:r>
      <w:r>
        <w:fldChar w:fldCharType="end"/>
      </w:r>
      <w:r>
        <w:rPr>
          <w:rFonts w:ascii="黑体" w:hAnsi="黑体" w:eastAsia="黑体"/>
        </w:rPr>
        <w:fldChar w:fldCharType="end"/>
      </w:r>
    </w:p>
    <w:p>
      <w:pPr>
        <w:spacing w:line="360" w:lineRule="auto"/>
        <w:jc w:val="center"/>
        <w:rPr>
          <w:rFonts w:ascii="黑体" w:hAnsi="黑体" w:eastAsia="黑体"/>
          <w:sz w:val="28"/>
        </w:rPr>
      </w:pPr>
      <w:r>
        <w:rPr>
          <w:rFonts w:ascii="黑体" w:hAnsi="黑体" w:eastAsia="黑体"/>
        </w:rPr>
        <w:fldChar w:fldCharType="end"/>
      </w:r>
    </w:p>
    <w:p>
      <w:pPr>
        <w:spacing w:line="360" w:lineRule="auto"/>
        <w:jc w:val="center"/>
        <w:rPr>
          <w:rFonts w:ascii="黑体" w:hAnsi="黑体" w:eastAsia="黑体"/>
          <w:sz w:val="28"/>
        </w:rPr>
      </w:pPr>
      <w:r>
        <w:rPr>
          <w:rFonts w:ascii="黑体" w:hAnsi="黑体" w:eastAsia="黑体"/>
          <w:sz w:val="28"/>
        </w:rPr>
        <w:br w:type="page"/>
      </w:r>
    </w:p>
    <w:p>
      <w:pPr>
        <w:pStyle w:val="2"/>
        <w:spacing w:line="360" w:lineRule="auto"/>
        <w:rPr>
          <w:rFonts w:hint="eastAsia"/>
          <w:sz w:val="32"/>
          <w:szCs w:val="32"/>
        </w:rPr>
      </w:pPr>
      <w:bookmarkStart w:id="0" w:name="_Toc29935"/>
      <w:bookmarkStart w:id="1" w:name="_Toc1606"/>
      <w:bookmarkStart w:id="2" w:name="_Toc4889"/>
      <w:bookmarkStart w:id="3" w:name="_Toc359868475"/>
      <w:bookmarkStart w:id="4" w:name="_Toc18963"/>
      <w:bookmarkStart w:id="5" w:name="_Toc2032"/>
      <w:bookmarkStart w:id="6" w:name="_Toc20715"/>
      <w:bookmarkStart w:id="7" w:name="_Toc400530335"/>
      <w:r>
        <w:rPr>
          <w:rFonts w:hint="eastAsia"/>
          <w:sz w:val="32"/>
          <w:szCs w:val="32"/>
        </w:rPr>
        <w:t>引言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>
      <w:pPr>
        <w:pStyle w:val="3"/>
        <w:spacing w:line="360" w:lineRule="auto"/>
        <w:rPr>
          <w:rFonts w:hint="eastAsia"/>
          <w:sz w:val="28"/>
          <w:szCs w:val="28"/>
          <w:lang w:eastAsia="zh-CN"/>
        </w:rPr>
      </w:pPr>
      <w:bookmarkStart w:id="8" w:name="_Toc20188"/>
      <w:bookmarkStart w:id="9" w:name="_Toc24365"/>
      <w:bookmarkStart w:id="10" w:name="_Toc10081"/>
      <w:bookmarkStart w:id="11" w:name="_Toc4039"/>
      <w:bookmarkStart w:id="12" w:name="_Toc19702"/>
      <w:bookmarkStart w:id="13" w:name="_Toc359868476"/>
      <w:bookmarkStart w:id="14" w:name="_Toc3749"/>
      <w:bookmarkStart w:id="15" w:name="_Toc400530336"/>
      <w:r>
        <w:rPr>
          <w:rFonts w:hint="eastAsia"/>
          <w:sz w:val="28"/>
          <w:szCs w:val="28"/>
        </w:rPr>
        <w:t>目的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>
      <w:pPr>
        <w:spacing w:line="360" w:lineRule="auto"/>
        <w:ind w:left="567"/>
        <w:rPr>
          <w:rFonts w:hint="eastAsia"/>
        </w:rPr>
      </w:pPr>
      <w:r>
        <w:rPr>
          <w:rFonts w:hint="eastAsia"/>
        </w:rPr>
        <w:t>介绍系统的各个功能界面，说明其使用方法。</w:t>
      </w:r>
    </w:p>
    <w:p>
      <w:pPr>
        <w:pStyle w:val="3"/>
        <w:spacing w:line="360" w:lineRule="auto"/>
        <w:rPr>
          <w:rFonts w:hint="eastAsia"/>
          <w:sz w:val="28"/>
          <w:szCs w:val="28"/>
        </w:rPr>
      </w:pPr>
      <w:bookmarkStart w:id="16" w:name="_Toc359868481"/>
      <w:bookmarkStart w:id="17" w:name="_Toc21688"/>
      <w:bookmarkStart w:id="18" w:name="_Toc31597"/>
      <w:bookmarkStart w:id="19" w:name="_Toc6995"/>
      <w:bookmarkStart w:id="20" w:name="_Toc27001"/>
      <w:bookmarkStart w:id="21" w:name="_Toc27424"/>
      <w:bookmarkStart w:id="22" w:name="_Toc24755"/>
      <w:bookmarkStart w:id="23" w:name="_Toc400530337"/>
      <w:r>
        <w:rPr>
          <w:rFonts w:hint="eastAsia"/>
          <w:sz w:val="28"/>
          <w:szCs w:val="28"/>
        </w:rPr>
        <w:t>使用用户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>
      <w:pPr>
        <w:spacing w:line="360" w:lineRule="auto"/>
        <w:ind w:left="567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安信基金管理有限责任公司</w:t>
      </w:r>
      <w:r>
        <w:rPr>
          <w:rFonts w:hint="eastAsia"/>
          <w:lang w:eastAsia="zh-CN"/>
        </w:rPr>
        <w:t>。</w:t>
      </w:r>
    </w:p>
    <w:p>
      <w:pPr>
        <w:pStyle w:val="2"/>
        <w:spacing w:line="360" w:lineRule="auto"/>
        <w:rPr>
          <w:rFonts w:hint="eastAsia"/>
          <w:sz w:val="32"/>
          <w:szCs w:val="32"/>
        </w:rPr>
      </w:pPr>
      <w:bookmarkStart w:id="24" w:name="_Toc16095"/>
      <w:bookmarkStart w:id="25" w:name="_Toc32389"/>
      <w:bookmarkStart w:id="26" w:name="_Toc8388"/>
      <w:bookmarkStart w:id="27" w:name="_Toc400530338"/>
      <w:bookmarkStart w:id="28" w:name="_Toc19804"/>
      <w:bookmarkStart w:id="29" w:name="_Toc17770"/>
      <w:r>
        <w:rPr>
          <w:rFonts w:hint="eastAsia"/>
          <w:sz w:val="32"/>
          <w:szCs w:val="32"/>
          <w:lang w:eastAsia="zh-CN"/>
        </w:rPr>
        <w:t>功能列表</w:t>
      </w:r>
      <w:bookmarkEnd w:id="24"/>
      <w:bookmarkEnd w:id="25"/>
      <w:bookmarkEnd w:id="26"/>
      <w:bookmarkEnd w:id="27"/>
      <w:bookmarkEnd w:id="28"/>
      <w:bookmarkEnd w:id="29"/>
    </w:p>
    <w:tbl>
      <w:tblPr>
        <w:tblStyle w:val="20"/>
        <w:tblW w:w="8523" w:type="dxa"/>
        <w:jc w:val="center"/>
        <w:tblInd w:w="14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1"/>
        <w:gridCol w:w="1573"/>
        <w:gridCol w:w="1517"/>
        <w:gridCol w:w="42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151" w:type="dxa"/>
            <w:vAlign w:val="center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  <w:t>一级菜单</w:t>
            </w:r>
          </w:p>
        </w:tc>
        <w:tc>
          <w:tcPr>
            <w:tcW w:w="1573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  <w:t>二级菜单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  <w:t>三级菜单</w:t>
            </w:r>
          </w:p>
        </w:tc>
        <w:tc>
          <w:tcPr>
            <w:tcW w:w="4282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  <w:t>功能简述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151" w:type="dxa"/>
            <w:vMerge w:val="restart"/>
            <w:vAlign w:val="center"/>
          </w:tcPr>
          <w:p>
            <w:pPr>
              <w:widowControl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  <w:t>产品管理</w:t>
            </w: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公募基金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4282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对公募基金产品信息进行统一管理。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151" w:type="dxa"/>
            <w:vMerge w:val="continue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专户产品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对专户产品信息进行统一管理。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151" w:type="dxa"/>
            <w:vMerge w:val="continue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产品分级信息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  <w:t>对公募、专户产品项下的分级基金进行信息维护、管理。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  <w:jc w:val="center"/>
        </w:trPr>
        <w:tc>
          <w:tcPr>
            <w:tcW w:w="1151" w:type="dxa"/>
            <w:vMerge w:val="restart"/>
            <w:vAlign w:val="center"/>
          </w:tcPr>
          <w:p>
            <w:pPr>
              <w:widowControl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账户管理</w:t>
            </w:r>
          </w:p>
        </w:tc>
        <w:tc>
          <w:tcPr>
            <w:tcW w:w="1573" w:type="dxa"/>
            <w:vMerge w:val="restar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  <w:t>运营账户管理</w:t>
            </w:r>
          </w:p>
        </w:tc>
        <w:tc>
          <w:tcPr>
            <w:tcW w:w="1517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FA账户</w:t>
            </w:r>
          </w:p>
        </w:tc>
        <w:tc>
          <w:tcPr>
            <w:tcW w:w="4282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  <w:t>对资产存管类账户、费用类账户和专户及专项账户进行统一管理，实现对账户信息、附件、联系人的增删查改功能。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  <w:jc w:val="center"/>
        </w:trPr>
        <w:tc>
          <w:tcPr>
            <w:tcW w:w="1151" w:type="dxa"/>
            <w:vMerge w:val="continue"/>
            <w:vAlign w:val="center"/>
          </w:tcPr>
          <w:p>
            <w:pPr>
              <w:widowControl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Merge w:val="continue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17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TA账户</w:t>
            </w:r>
          </w:p>
        </w:tc>
        <w:tc>
          <w:tcPr>
            <w:tcW w:w="4282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  <w:t>对清算类账户、委贷类账户和机构销售类账户进行统一管理，实现对账户信息、附件、联系人的增删查改功能。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151" w:type="dxa"/>
            <w:vMerge w:val="continue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Merge w:val="restar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  <w:t>公司账户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  <w:t>母公司</w:t>
            </w:r>
          </w:p>
        </w:tc>
        <w:tc>
          <w:tcPr>
            <w:tcW w:w="4282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  <w:t>对母公司基本账户、一般账户、风险准备金账户进行统一管理。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  <w:jc w:val="center"/>
        </w:trPr>
        <w:tc>
          <w:tcPr>
            <w:tcW w:w="1151" w:type="dxa"/>
            <w:vMerge w:val="continue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Merge w:val="continue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  <w:t>子公司</w:t>
            </w:r>
          </w:p>
        </w:tc>
        <w:tc>
          <w:tcPr>
            <w:tcW w:w="4282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  <w:t>对子公司基本账户、一般账户、风险准备金账户进行统一管理。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151" w:type="dxa"/>
            <w:vMerge w:val="restar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  <w:t>公共功能</w:t>
            </w: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产品干系人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  <w:t>维护基金产品项下的基金经理、助理、项目经理、托管行联系人等干系人信息，并建立产品和人员之间的对应关系。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8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投研人员管理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  <w:t>对投研人员的基本信息（姓名、学历等）、任职经历、学习经历、产品管理经历等进行统一管理。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外部人员管理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  <w:t>管理基金公司外部常用联系人的基本信息，后续可复用于产品干系人的维护。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重大事项揭示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kern w:val="0"/>
                <w:sz w:val="21"/>
                <w:szCs w:val="21"/>
              </w:rPr>
            </w:pPr>
            <w:r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  <w:t>维护产品、公司的重大事件，包括事件内容、时间和披露媒体。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主体信息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审计机构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销售机构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合同信息管理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交易单元管理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交易单元绑定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151" w:type="dxa"/>
            <w:vMerge w:val="restart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  <w:t>提醒管理</w:t>
            </w: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日历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公用提醒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产品提醒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提醒规则管理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5" w:hRule="atLeast"/>
          <w:jc w:val="center"/>
        </w:trPr>
        <w:tc>
          <w:tcPr>
            <w:tcW w:w="1151" w:type="dxa"/>
            <w:vMerge w:val="continue"/>
            <w:tcBorders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eastAsia="zh-CN"/>
              </w:rPr>
            </w:pPr>
          </w:p>
        </w:tc>
        <w:tc>
          <w:tcPr>
            <w:tcW w:w="1573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000000"/>
                <w:kern w:val="0"/>
                <w:sz w:val="21"/>
                <w:szCs w:val="21"/>
                <w:lang w:val="en-US" w:eastAsia="zh-CN"/>
              </w:rPr>
              <w:t>提醒类型管理</w:t>
            </w:r>
          </w:p>
        </w:tc>
        <w:tc>
          <w:tcPr>
            <w:tcW w:w="1517" w:type="dxa"/>
            <w:vAlign w:val="bottom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color w:val="000000"/>
                <w:kern w:val="0"/>
                <w:sz w:val="21"/>
                <w:szCs w:val="21"/>
              </w:rPr>
            </w:pPr>
          </w:p>
        </w:tc>
        <w:tc>
          <w:tcPr>
            <w:tcW w:w="4282" w:type="dxa"/>
            <w:vAlign w:val="center"/>
          </w:tcPr>
          <w:p>
            <w:pPr>
              <w:widowControl/>
              <w:spacing w:line="360" w:lineRule="auto"/>
              <w:jc w:val="left"/>
              <w:rPr>
                <w:rFonts w:hint="eastAsia" w:asciiTheme="minorEastAsia" w:hAnsiTheme="minorEastAsia" w:cstheme="minorEastAsia"/>
                <w:kern w:val="0"/>
                <w:sz w:val="21"/>
                <w:szCs w:val="21"/>
                <w:lang w:eastAsia="zh-CN"/>
              </w:rPr>
            </w:pPr>
          </w:p>
        </w:tc>
      </w:tr>
    </w:tbl>
    <w:p>
      <w:pPr>
        <w:spacing w:line="360" w:lineRule="auto"/>
        <w:rPr>
          <w:rFonts w:hint="eastAsia" w:eastAsiaTheme="minorEastAsia"/>
          <w:lang w:eastAsia="zh-CN"/>
        </w:rPr>
      </w:pPr>
    </w:p>
    <w:p>
      <w:pPr>
        <w:pStyle w:val="2"/>
        <w:spacing w:line="360" w:lineRule="auto"/>
        <w:rPr>
          <w:rFonts w:hint="eastAsia"/>
          <w:sz w:val="32"/>
          <w:szCs w:val="32"/>
          <w:lang w:eastAsia="zh-CN"/>
        </w:rPr>
      </w:pPr>
      <w:bookmarkStart w:id="30" w:name="_Toc13313"/>
      <w:bookmarkStart w:id="31" w:name="_Toc3078"/>
      <w:bookmarkStart w:id="32" w:name="_Toc8837"/>
      <w:bookmarkStart w:id="33" w:name="_Toc20611"/>
      <w:bookmarkStart w:id="34" w:name="_Toc17590"/>
      <w:r>
        <w:rPr>
          <w:rFonts w:hint="eastAsia"/>
          <w:sz w:val="32"/>
          <w:szCs w:val="32"/>
          <w:lang w:eastAsia="zh-CN"/>
        </w:rPr>
        <w:t>系统登录</w:t>
      </w:r>
      <w:bookmarkEnd w:id="30"/>
      <w:bookmarkEnd w:id="31"/>
      <w:bookmarkEnd w:id="32"/>
      <w:bookmarkEnd w:id="33"/>
      <w:bookmarkEnd w:id="34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2" w:firstLineChars="200"/>
        <w:jc w:val="both"/>
        <w:textAlignment w:val="auto"/>
        <w:outlineLvl w:val="9"/>
        <w:rPr>
          <w:rFonts w:hint="eastAsia" w:eastAsiaTheme="minorEastAsia"/>
          <w:b/>
          <w:bCs/>
          <w:lang w:eastAsia="zh-CN"/>
        </w:rPr>
      </w:pPr>
      <w:bookmarkStart w:id="35" w:name="_Toc22660"/>
      <w:bookmarkStart w:id="36" w:name="_Toc2073"/>
      <w:bookmarkStart w:id="37" w:name="_Toc2069"/>
      <w:r>
        <w:rPr>
          <w:rFonts w:hint="eastAsia"/>
          <w:b/>
          <w:bCs/>
          <w:lang w:eastAsia="zh-CN"/>
        </w:rPr>
        <w:t>操作说明：</w:t>
      </w:r>
      <w:bookmarkEnd w:id="35"/>
      <w:bookmarkEnd w:id="36"/>
      <w:bookmarkEnd w:id="37"/>
    </w:p>
    <w:p>
      <w:pPr>
        <w:spacing w:line="360" w:lineRule="auto"/>
        <w:ind w:leftChars="200" w:firstLine="420" w:firstLineChars="200"/>
      </w:pPr>
      <w:r>
        <w:rPr>
          <w:rFonts w:hint="eastAsia"/>
        </w:rPr>
        <w:t>用户名</w:t>
      </w:r>
      <w:r>
        <w:t>：</w:t>
      </w:r>
    </w:p>
    <w:p>
      <w:pPr>
        <w:spacing w:line="360" w:lineRule="auto"/>
        <w:ind w:leftChars="200" w:firstLine="420" w:firstLineChars="200"/>
      </w:pPr>
      <w:r>
        <w:rPr>
          <w:rFonts w:hint="eastAsia"/>
        </w:rPr>
        <w:t>密码</w:t>
      </w:r>
      <w:r>
        <w:t>：</w:t>
      </w:r>
    </w:p>
    <w:p>
      <w:pPr>
        <w:spacing w:line="360" w:lineRule="auto"/>
        <w:ind w:leftChars="200" w:firstLine="420" w:firstLineChars="200"/>
      </w:pPr>
      <w:r>
        <w:rPr>
          <w:rFonts w:hint="eastAsia"/>
        </w:rPr>
        <w:t>岗位</w:t>
      </w:r>
      <w:r>
        <w:t>：</w:t>
      </w:r>
    </w:p>
    <w:p>
      <w:pPr>
        <w:spacing w:line="360" w:lineRule="auto"/>
        <w:ind w:leftChars="200" w:firstLine="420" w:firstLineChars="200"/>
        <w:rPr>
          <w:rFonts w:hint="eastAsia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登录</w:t>
      </w:r>
      <w:r>
        <w:t>”</w:t>
      </w:r>
      <w:r>
        <w:rPr>
          <w:rFonts w:hint="eastAsia"/>
        </w:rPr>
        <w:t>，进入</w:t>
      </w:r>
      <w:r>
        <w:t>系统</w:t>
      </w:r>
      <w:r>
        <w:rPr>
          <w:rFonts w:hint="eastAsia"/>
        </w:rPr>
        <w:t>。</w:t>
      </w:r>
    </w:p>
    <w:p>
      <w:pPr>
        <w:spacing w:line="360" w:lineRule="auto"/>
        <w:ind w:leftChars="200" w:firstLine="420" w:firstLineChars="200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2" w:firstLineChars="200"/>
        <w:jc w:val="both"/>
        <w:textAlignment w:val="auto"/>
        <w:outlineLvl w:val="9"/>
        <w:rPr>
          <w:rFonts w:hint="eastAsia"/>
          <w:b/>
          <w:bCs/>
          <w:lang w:eastAsia="zh-CN"/>
        </w:rPr>
      </w:pPr>
      <w:bookmarkStart w:id="38" w:name="_Toc13701"/>
      <w:bookmarkStart w:id="39" w:name="_Toc18078"/>
      <w:bookmarkStart w:id="40" w:name="_Toc17628"/>
      <w:r>
        <w:rPr>
          <w:rFonts w:hint="eastAsia"/>
          <w:b/>
          <w:bCs/>
          <w:lang w:eastAsia="zh-CN"/>
        </w:rPr>
        <w:t>界面</w:t>
      </w:r>
      <w:bookmarkEnd w:id="38"/>
      <w:bookmarkEnd w:id="39"/>
      <w:bookmarkEnd w:id="40"/>
    </w:p>
    <w:p>
      <w:pPr>
        <w:spacing w:line="360" w:lineRule="auto"/>
        <w:jc w:val="center"/>
      </w:pPr>
      <w:r>
        <w:drawing>
          <wp:inline distT="0" distB="0" distL="0" distR="0">
            <wp:extent cx="2867025" cy="2085975"/>
            <wp:effectExtent l="0" t="0" r="1333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pStyle w:val="2"/>
        <w:spacing w:line="360" w:lineRule="auto"/>
        <w:rPr>
          <w:rFonts w:hint="eastAsia"/>
          <w:sz w:val="32"/>
          <w:szCs w:val="32"/>
          <w:lang w:val="en-US" w:eastAsia="zh-CN"/>
        </w:rPr>
      </w:pPr>
      <w:bookmarkStart w:id="41" w:name="_Toc7339"/>
      <w:bookmarkStart w:id="42" w:name="_Toc12951"/>
      <w:bookmarkStart w:id="43" w:name="_Toc19330"/>
      <w:bookmarkStart w:id="44" w:name="_Toc31825"/>
      <w:bookmarkStart w:id="45" w:name="_Toc21982"/>
      <w:r>
        <w:rPr>
          <w:rFonts w:hint="eastAsia"/>
          <w:sz w:val="32"/>
          <w:szCs w:val="32"/>
          <w:lang w:val="en-US" w:eastAsia="zh-CN"/>
        </w:rPr>
        <w:t>产品管理</w:t>
      </w:r>
      <w:bookmarkEnd w:id="41"/>
      <w:bookmarkEnd w:id="42"/>
      <w:bookmarkEnd w:id="43"/>
      <w:bookmarkEnd w:id="44"/>
      <w:bookmarkEnd w:id="45"/>
    </w:p>
    <w:p>
      <w:pPr>
        <w:numPr>
          <w:ilvl w:val="0"/>
          <w:numId w:val="3"/>
        </w:numPr>
        <w:ind w:left="840" w:leftChars="0"/>
      </w:pPr>
      <w:bookmarkStart w:id="46" w:name="_Toc25618"/>
      <w:r>
        <w:rPr>
          <w:rFonts w:hint="eastAsia"/>
          <w:lang w:eastAsia="zh-CN"/>
        </w:rPr>
        <w:t>产品</w:t>
      </w:r>
      <w:r>
        <w:t>管理</w:t>
      </w:r>
      <w:bookmarkEnd w:id="46"/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70" w:leftChars="50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公募基金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70" w:leftChars="50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专户产品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470" w:leftChars="50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产品分级信息</w:t>
      </w:r>
    </w:p>
    <w:p>
      <w:pPr>
        <w:pStyle w:val="3"/>
        <w:spacing w:line="360" w:lineRule="auto"/>
        <w:rPr>
          <w:rFonts w:hint="eastAsia"/>
          <w:sz w:val="28"/>
          <w:szCs w:val="28"/>
          <w:lang w:val="en-US" w:eastAsia="zh-CN"/>
        </w:rPr>
      </w:pPr>
      <w:bookmarkStart w:id="47" w:name="_Toc26298"/>
      <w:bookmarkStart w:id="48" w:name="_Toc12649"/>
      <w:bookmarkStart w:id="49" w:name="_Toc10758"/>
      <w:bookmarkStart w:id="50" w:name="_Toc32200"/>
      <w:bookmarkStart w:id="51" w:name="_Toc16587"/>
      <w:r>
        <w:rPr>
          <w:rFonts w:hint="eastAsia"/>
          <w:sz w:val="28"/>
          <w:szCs w:val="28"/>
          <w:lang w:val="en-US" w:eastAsia="zh-CN"/>
        </w:rPr>
        <w:t>公募基金</w:t>
      </w:r>
      <w:bookmarkEnd w:id="47"/>
      <w:bookmarkEnd w:id="48"/>
      <w:bookmarkEnd w:id="49"/>
      <w:bookmarkEnd w:id="50"/>
      <w:bookmarkEnd w:id="51"/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52" w:name="_Toc9705"/>
      <w:bookmarkStart w:id="53" w:name="_Toc3158"/>
      <w:bookmarkStart w:id="54" w:name="_Toc30311"/>
      <w:bookmarkStart w:id="55" w:name="_Toc20874"/>
      <w:r>
        <w:rPr>
          <w:rFonts w:hint="eastAsia"/>
          <w:lang w:val="en-US" w:eastAsia="zh-CN"/>
        </w:rPr>
        <w:t>公募基金主界面</w:t>
      </w:r>
      <w:bookmarkEnd w:id="52"/>
      <w:bookmarkEnd w:id="53"/>
      <w:bookmarkEnd w:id="54"/>
      <w:bookmarkEnd w:id="55"/>
    </w:p>
    <w:p>
      <w:pPr>
        <w:pStyle w:val="24"/>
        <w:numPr>
          <w:ilvl w:val="0"/>
          <w:numId w:val="5"/>
        </w:numPr>
        <w:spacing w:line="360" w:lineRule="auto"/>
        <w:ind w:left="845" w:leftChars="0" w:hanging="425" w:firstLineChars="0"/>
        <w:rPr>
          <w:rStyle w:val="17"/>
          <w:rFonts w:hint="eastAsia"/>
        </w:rPr>
      </w:pPr>
      <w:bookmarkStart w:id="56" w:name="_Toc11671"/>
      <w:bookmarkStart w:id="57" w:name="_Toc11279"/>
      <w:r>
        <w:rPr>
          <w:rStyle w:val="17"/>
          <w:rFonts w:hint="eastAsia"/>
        </w:rPr>
        <w:t>操作说明</w:t>
      </w:r>
      <w:bookmarkEnd w:id="56"/>
      <w:bookmarkEnd w:id="57"/>
    </w:p>
    <w:p>
      <w:pPr>
        <w:pStyle w:val="30"/>
        <w:keepNext w:val="0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打开【产品管理】--&gt;点击【公募基金】；</w:t>
      </w:r>
    </w:p>
    <w:p>
      <w:pPr>
        <w:pStyle w:val="30"/>
        <w:keepNext w:val="0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系统界面加载公募基金的主界面，有“股票型、债券型、混合型、货币型、指数型”五种产品类型，点击一种类型，可获取该类型的所有产品记录；</w:t>
      </w:r>
    </w:p>
    <w:p>
      <w:pPr>
        <w:pStyle w:val="30"/>
        <w:keepNext w:val="0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点击相应操作按钮，可以对公募基金信息进行新增、修改、复制、删除、审核、反审核、同步、查询的操作；</w:t>
      </w:r>
    </w:p>
    <w:p>
      <w:pPr>
        <w:pStyle w:val="24"/>
        <w:numPr>
          <w:ilvl w:val="0"/>
          <w:numId w:val="5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bookmarkStart w:id="58" w:name="_Toc14028"/>
      <w:bookmarkStart w:id="59" w:name="_Toc7709"/>
      <w:r>
        <w:rPr>
          <w:rStyle w:val="17"/>
          <w:rFonts w:hint="eastAsia"/>
          <w:sz w:val="21"/>
          <w:szCs w:val="22"/>
          <w:lang w:val="en-US" w:eastAsia="zh-CN"/>
        </w:rPr>
        <w:t>界面</w:t>
      </w:r>
      <w:bookmarkEnd w:id="58"/>
      <w:bookmarkEnd w:id="59"/>
    </w:p>
    <w:p>
      <w:pPr>
        <w:spacing w:line="360" w:lineRule="auto"/>
        <w:jc w:val="both"/>
      </w:pPr>
      <w:r>
        <w:drawing>
          <wp:inline distT="0" distB="0" distL="114300" distR="114300">
            <wp:extent cx="5267325" cy="2227580"/>
            <wp:effectExtent l="9525" t="9525" r="11430" b="18415"/>
            <wp:docPr id="10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7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5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bookmarkStart w:id="60" w:name="_Toc10912"/>
      <w:bookmarkStart w:id="61" w:name="_Toc9397"/>
      <w:r>
        <w:rPr>
          <w:rStyle w:val="17"/>
          <w:rFonts w:hint="eastAsia"/>
          <w:sz w:val="21"/>
          <w:szCs w:val="22"/>
          <w:lang w:val="en-US" w:eastAsia="zh-CN"/>
        </w:rPr>
        <w:t>按钮说明</w:t>
      </w:r>
      <w:bookmarkEnd w:id="60"/>
      <w:bookmarkEnd w:id="61"/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58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859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859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同步（暂不支持）</w:t>
            </w:r>
          </w:p>
        </w:tc>
        <w:tc>
          <w:tcPr>
            <w:tcW w:w="585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1.单选/多选记录，点击“同步”，</w:t>
            </w:r>
            <w:r>
              <w:rPr>
                <w:rFonts w:hint="eastAsia"/>
                <w:lang w:eastAsia="zh-CN"/>
              </w:rPr>
              <w:t>跳转至‘同步界面’，点击界面上方的同步按钮</w:t>
            </w:r>
            <w:r>
              <w:drawing>
                <wp:inline distT="0" distB="0" distL="114300" distR="114300">
                  <wp:extent cx="213360" cy="205740"/>
                  <wp:effectExtent l="0" t="0" r="0" b="7620"/>
                  <wp:docPr id="6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" cy="205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，点击后将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信息同步至估值系统的对应模块；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2.只可对已审核信息进行同步操作；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7"/>
              </w:numPr>
              <w:spacing w:line="360" w:lineRule="auto"/>
              <w:ind w:left="0" w:leftChars="0" w:firstLine="0" w:firstLine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支持模糊查询；</w:t>
            </w:r>
          </w:p>
          <w:p>
            <w:pPr>
              <w:pStyle w:val="30"/>
              <w:numPr>
                <w:ilvl w:val="0"/>
                <w:numId w:val="7"/>
              </w:numPr>
              <w:spacing w:line="360" w:lineRule="auto"/>
              <w:ind w:left="0" w:leftChars="0" w:firstLine="0" w:firstLine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输入“查询条件”后，点击“查询”，进行查询操作；</w:t>
            </w:r>
          </w:p>
        </w:tc>
      </w:tr>
    </w:tbl>
    <w:p>
      <w:pPr>
        <w:pStyle w:val="4"/>
        <w:spacing w:line="360" w:lineRule="auto"/>
        <w:rPr>
          <w:rFonts w:hint="eastAsia"/>
          <w:b/>
          <w:bCs/>
          <w:lang w:eastAsia="zh-CN"/>
        </w:rPr>
      </w:pPr>
      <w:bookmarkStart w:id="62" w:name="_Toc4149"/>
      <w:bookmarkStart w:id="63" w:name="_Toc18770"/>
      <w:bookmarkStart w:id="64" w:name="_Toc24076"/>
      <w:bookmarkStart w:id="65" w:name="_Toc25771"/>
      <w:r>
        <w:rPr>
          <w:rFonts w:hint="eastAsia"/>
          <w:lang w:val="en-US" w:eastAsia="zh-CN"/>
        </w:rPr>
        <w:t>公募基金维护</w:t>
      </w:r>
      <w:bookmarkEnd w:id="62"/>
      <w:bookmarkEnd w:id="63"/>
      <w:bookmarkEnd w:id="64"/>
      <w:bookmarkEnd w:id="65"/>
    </w:p>
    <w:p>
      <w:pPr>
        <w:pStyle w:val="24"/>
        <w:numPr>
          <w:ilvl w:val="0"/>
          <w:numId w:val="8"/>
        </w:numPr>
        <w:spacing w:line="360" w:lineRule="auto"/>
        <w:ind w:left="845" w:leftChars="0" w:hanging="425" w:firstLineChars="0"/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bookmarkStart w:id="66" w:name="_Toc3572"/>
      <w:bookmarkStart w:id="67" w:name="_Toc1600"/>
      <w:r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操作说明</w:t>
      </w:r>
      <w:bookmarkEnd w:id="66"/>
      <w:bookmarkEnd w:id="6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</w:rPr>
        <w:t>点击</w:t>
      </w:r>
      <w:r>
        <w:drawing>
          <wp:inline distT="0" distB="0" distL="114300" distR="114300">
            <wp:extent cx="510540" cy="220980"/>
            <wp:effectExtent l="0" t="0" r="7620" b="762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t>，打开</w:t>
      </w:r>
      <w:r>
        <w:rPr>
          <w:rFonts w:hint="eastAsia"/>
          <w:lang w:eastAsia="zh-CN"/>
        </w:rPr>
        <w:t>公募基金维护</w:t>
      </w:r>
      <w:r>
        <w:rPr>
          <w:rFonts w:hint="eastAsia"/>
          <w:lang w:val="en-US" w:eastAsia="zh-CN"/>
        </w:rPr>
        <w:t>界面，可在维护界面维护公募基金产品信息。</w:t>
      </w:r>
    </w:p>
    <w:p>
      <w:pPr>
        <w:pStyle w:val="24"/>
        <w:numPr>
          <w:ilvl w:val="0"/>
          <w:numId w:val="8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bookmarkStart w:id="68" w:name="_Toc29743"/>
      <w:bookmarkStart w:id="69" w:name="_Toc4955"/>
      <w:r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界面</w:t>
      </w:r>
      <w:bookmarkEnd w:id="68"/>
      <w:bookmarkEnd w:id="69"/>
    </w:p>
    <w:p>
      <w:pPr>
        <w:spacing w:line="360" w:lineRule="auto"/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7325" cy="8656955"/>
            <wp:effectExtent l="9525" t="9525" r="11430" b="20320"/>
            <wp:docPr id="10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56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8"/>
        </w:numPr>
        <w:spacing w:line="360" w:lineRule="auto"/>
        <w:ind w:left="845" w:leftChars="0" w:hanging="425" w:firstLineChars="0"/>
        <w:rPr>
          <w:rFonts w:hint="eastAsia"/>
          <w:b/>
          <w:bCs/>
          <w:lang w:eastAsia="zh-CN"/>
        </w:rPr>
      </w:pPr>
      <w:bookmarkStart w:id="70" w:name="_Toc8780"/>
      <w:bookmarkStart w:id="71" w:name="_Toc5062"/>
      <w:r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元素说明</w:t>
      </w:r>
      <w:bookmarkEnd w:id="70"/>
      <w:bookmarkEnd w:id="71"/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产品基本信息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产品简称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资产代码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default" w:ascii="Calibri" w:hAnsi="Calibri" w:eastAsia="宋体" w:cs="Calibri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FIRST代码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根据基金业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协会要求编制，用于数据对外报送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产品归属部门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加载自部门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资产类型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1-证券投资基金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2-资产管理计划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1-股票型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2-债券型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3-混合型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4-货币型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5-指数型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管理类型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1-主动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2-被动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风险等级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1-高风险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2-中高风险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3-中等风险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4-中低风险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5-低风险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highlight w:val="yellow"/>
                <w:u w:val="none"/>
                <w:lang w:val="en-US" w:eastAsia="zh-CN" w:bidi="ar"/>
              </w:rPr>
              <w:t>产品转型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管理人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托管人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初始规模（元）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保留两位小数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成立日期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募集开始日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募集截止日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提前结束募集日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净值精度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输入保留几位小数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销售方式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多选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1-直销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2-代销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披露媒体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多选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1-上海证券报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2-中国证券报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3-证券时报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4-证券日报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注册登记机构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1-上海中登TA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2-深圳中登TA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3-自建TA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Style w:val="33"/>
                <w:rFonts w:hint="eastAsia" w:asciiTheme="minorEastAsia" w:hAnsiTheme="minorEastAsia" w:eastAsiaTheme="minorEastAsia" w:cstheme="minorEastAsia"/>
                <w:color w:val="auto"/>
                <w:sz w:val="15"/>
                <w:szCs w:val="15"/>
                <w:lang w:val="en-US" w:eastAsia="zh-CN" w:bidi="ar"/>
              </w:rPr>
              <w:t>4-其他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是否分级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0-否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16"/>
                <w:szCs w:val="16"/>
                <w:u w:val="none"/>
                <w:lang w:val="en-US" w:eastAsia="zh-CN" w:bidi="ar"/>
              </w:rPr>
              <w:t>是否有投顾人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0-否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16"/>
                <w:szCs w:val="16"/>
                <w:highlight w:val="none"/>
                <w:u w:val="none"/>
                <w:lang w:val="en-US" w:eastAsia="zh-CN" w:bidi="ar"/>
              </w:rPr>
              <w:t>是否有网下打新资格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0-否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16"/>
                <w:szCs w:val="16"/>
                <w:u w:val="none"/>
                <w:lang w:val="en-US" w:eastAsia="zh-CN" w:bidi="ar"/>
              </w:rPr>
              <w:t>是否开立银行间账户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0-否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16"/>
                <w:szCs w:val="16"/>
                <w:u w:val="none"/>
                <w:lang w:val="en-US" w:eastAsia="zh-CN" w:bidi="ar"/>
              </w:rPr>
              <w:t>交易资格信息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多选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1-交易所市场交易资格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2-上海清算所短期融资券业务平台资格申请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3-深交所综合协议交易平台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4-网下新股询价申购资格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5-银行间债券交易资格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6-大宗交易平台-上交所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7-固定收益平台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8-其他业务资格说明（如有以上未列事项说明）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 w:ascii="宋体" w:hAnsi="宋体" w:eastAsia="宋体" w:cs="宋体"/>
                <w:i w:val="0"/>
                <w:color w:val="auto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auto"/>
                <w:kern w:val="0"/>
                <w:sz w:val="16"/>
                <w:szCs w:val="16"/>
                <w:u w:val="none"/>
                <w:lang w:val="en-US" w:eastAsia="zh-CN" w:bidi="ar"/>
              </w:rPr>
              <w:t>结算模式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1-银行结算模式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2-券商结算模式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产品估值信息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组合代码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只读；</w:t>
            </w:r>
          </w:p>
          <w:p>
            <w:pPr>
              <w:spacing w:line="360" w:lineRule="auto"/>
              <w:jc w:val="left"/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默认和资产代码一致；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组合币种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1-人民币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2-美元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3-港币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4-英镑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5-澳元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6-日元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7-欧元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8-新西兰元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9-新加坡元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组合级别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1-组合层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2-单元层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3-计划层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节假日群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1-中国节假日群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2-香港节假日群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3-港股通节假日群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资产类别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1-普通型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2-货币型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3-ETF群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4-联接型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textAlignment w:val="center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产品状态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1-草稿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2-待发行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3-募集期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4-存续期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5-已到期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6-已清算</w:t>
            </w:r>
          </w:p>
        </w:tc>
      </w:tr>
    </w:tbl>
    <w:p>
      <w:pPr>
        <w:spacing w:line="360" w:lineRule="auto"/>
      </w:pPr>
    </w:p>
    <w:p>
      <w:pPr>
        <w:pStyle w:val="3"/>
        <w:spacing w:line="360" w:lineRule="auto"/>
        <w:rPr>
          <w:rFonts w:hint="eastAsia"/>
          <w:sz w:val="28"/>
          <w:szCs w:val="28"/>
          <w:lang w:val="en-US" w:eastAsia="zh-CN"/>
        </w:rPr>
      </w:pPr>
      <w:bookmarkStart w:id="72" w:name="_Toc16430"/>
      <w:bookmarkStart w:id="73" w:name="_Toc253"/>
      <w:bookmarkStart w:id="74" w:name="_Toc27996"/>
      <w:bookmarkStart w:id="75" w:name="_Toc14330"/>
      <w:bookmarkStart w:id="76" w:name="_Toc1298"/>
      <w:r>
        <w:rPr>
          <w:rFonts w:hint="eastAsia"/>
          <w:sz w:val="28"/>
          <w:szCs w:val="28"/>
          <w:lang w:val="en-US" w:eastAsia="zh-CN"/>
        </w:rPr>
        <w:t>专户产品</w:t>
      </w:r>
      <w:bookmarkEnd w:id="72"/>
      <w:bookmarkEnd w:id="73"/>
      <w:bookmarkEnd w:id="74"/>
      <w:bookmarkEnd w:id="75"/>
      <w:bookmarkEnd w:id="76"/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77" w:name="_Toc5758"/>
      <w:bookmarkStart w:id="78" w:name="_Toc30591"/>
      <w:bookmarkStart w:id="79" w:name="_Toc31972"/>
      <w:bookmarkStart w:id="80" w:name="_Toc3982"/>
      <w:r>
        <w:rPr>
          <w:rFonts w:hint="eastAsia"/>
          <w:lang w:val="en-US" w:eastAsia="zh-CN"/>
        </w:rPr>
        <w:t>专户产品主界面</w:t>
      </w:r>
      <w:bookmarkEnd w:id="77"/>
      <w:bookmarkEnd w:id="78"/>
      <w:bookmarkEnd w:id="79"/>
      <w:bookmarkEnd w:id="80"/>
    </w:p>
    <w:p>
      <w:pPr>
        <w:pStyle w:val="24"/>
        <w:numPr>
          <w:ilvl w:val="0"/>
          <w:numId w:val="9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</w:rPr>
      </w:pPr>
      <w:bookmarkStart w:id="81" w:name="_Toc20924"/>
      <w:bookmarkStart w:id="82" w:name="_Toc5356"/>
      <w:r>
        <w:rPr>
          <w:rStyle w:val="17"/>
          <w:rFonts w:hint="eastAsia"/>
          <w:sz w:val="21"/>
          <w:szCs w:val="22"/>
        </w:rPr>
        <w:t>操作说明</w:t>
      </w:r>
      <w:bookmarkEnd w:id="81"/>
      <w:bookmarkEnd w:id="82"/>
    </w:p>
    <w:p>
      <w:pPr>
        <w:pStyle w:val="30"/>
        <w:keepNext w:val="0"/>
        <w:keepLines w:val="0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打开【产品管理】--&gt;点击【专户产品】；</w:t>
      </w:r>
    </w:p>
    <w:p>
      <w:pPr>
        <w:pStyle w:val="30"/>
        <w:keepNext w:val="0"/>
        <w:keepLines w:val="0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系统界面加载专户产品的主界面，有“主动、通道、投顾、其他”四种产品管理类型，点击一种类型，可获取该类型的所有产品记录；</w:t>
      </w:r>
    </w:p>
    <w:p>
      <w:pPr>
        <w:pStyle w:val="30"/>
        <w:keepNext w:val="0"/>
        <w:keepLines w:val="0"/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/>
          <w:b w:val="0"/>
          <w:bCs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点击相应操作按钮，可以对专户产品信息进行新增、修改、复制、删除、审核、反审核、同步、查询的操作；</w:t>
      </w:r>
    </w:p>
    <w:p>
      <w:pPr>
        <w:pStyle w:val="24"/>
        <w:numPr>
          <w:ilvl w:val="0"/>
          <w:numId w:val="9"/>
        </w:numPr>
        <w:spacing w:line="360" w:lineRule="auto"/>
        <w:ind w:left="845" w:leftChars="0" w:hanging="425" w:firstLineChars="0"/>
        <w:rPr>
          <w:rStyle w:val="17"/>
          <w:rFonts w:hint="eastAsia"/>
          <w:color w:val="FF0000"/>
          <w:sz w:val="21"/>
          <w:szCs w:val="22"/>
          <w:lang w:eastAsia="zh-CN"/>
        </w:rPr>
      </w:pPr>
      <w:bookmarkStart w:id="83" w:name="_Toc32760"/>
      <w:bookmarkStart w:id="84" w:name="_Toc7859"/>
      <w:r>
        <w:rPr>
          <w:rStyle w:val="17"/>
          <w:rFonts w:hint="eastAsia"/>
          <w:color w:val="FF0000"/>
          <w:sz w:val="21"/>
          <w:szCs w:val="22"/>
          <w:lang w:eastAsia="zh-CN"/>
        </w:rPr>
        <w:t>界面</w:t>
      </w:r>
      <w:bookmarkEnd w:id="83"/>
      <w:bookmarkEnd w:id="84"/>
    </w:p>
    <w:p>
      <w:pPr>
        <w:pStyle w:val="24"/>
        <w:numPr>
          <w:ilvl w:val="0"/>
          <w:numId w:val="9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eastAsia="zh-CN"/>
        </w:rPr>
      </w:pPr>
      <w:bookmarkStart w:id="85" w:name="_Toc7081"/>
      <w:bookmarkStart w:id="86" w:name="_Toc14630"/>
      <w:r>
        <w:rPr>
          <w:rStyle w:val="17"/>
          <w:rFonts w:hint="eastAsia"/>
          <w:sz w:val="21"/>
          <w:szCs w:val="22"/>
          <w:lang w:eastAsia="zh-CN"/>
        </w:rPr>
        <w:t>按钮说明</w:t>
      </w:r>
      <w:bookmarkEnd w:id="85"/>
      <w:bookmarkEnd w:id="86"/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58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859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859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同步（暂不支持）</w:t>
            </w:r>
          </w:p>
        </w:tc>
        <w:tc>
          <w:tcPr>
            <w:tcW w:w="585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1.单选/多选记录，点击“同步”，</w:t>
            </w:r>
            <w:r>
              <w:rPr>
                <w:rFonts w:hint="eastAsia"/>
                <w:lang w:eastAsia="zh-CN"/>
              </w:rPr>
              <w:t>跳转至‘同步界面’，点击界面上方的同步按钮</w:t>
            </w:r>
            <w:r>
              <w:drawing>
                <wp:inline distT="0" distB="0" distL="114300" distR="114300">
                  <wp:extent cx="213360" cy="205740"/>
                  <wp:effectExtent l="0" t="0" r="0" b="7620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" cy="205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，点击后将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信息同步至估值系统的对应模块；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2.只可对已审核信息进行同步操作；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1.支持模糊查询；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2.输入“查询条件”后，点击“查询”，进行查询操作；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/>
          <w:bCs/>
          <w:lang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87" w:name="_Toc29993"/>
      <w:bookmarkStart w:id="88" w:name="_Toc32423"/>
      <w:bookmarkStart w:id="89" w:name="_Toc3927"/>
      <w:bookmarkStart w:id="90" w:name="_Toc29221"/>
      <w:r>
        <w:rPr>
          <w:rFonts w:hint="eastAsia"/>
          <w:lang w:val="en-US" w:eastAsia="zh-CN"/>
        </w:rPr>
        <w:t>专户产品维护</w:t>
      </w:r>
      <w:bookmarkEnd w:id="87"/>
      <w:bookmarkEnd w:id="88"/>
      <w:bookmarkEnd w:id="89"/>
      <w:bookmarkEnd w:id="90"/>
    </w:p>
    <w:p>
      <w:pPr>
        <w:pStyle w:val="24"/>
        <w:numPr>
          <w:ilvl w:val="0"/>
          <w:numId w:val="11"/>
        </w:numPr>
        <w:spacing w:line="360" w:lineRule="auto"/>
        <w:ind w:left="845" w:leftChars="0" w:hanging="425" w:firstLineChars="0"/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bookmarkStart w:id="91" w:name="_Toc24338"/>
      <w:bookmarkStart w:id="92" w:name="_Toc29248"/>
      <w:r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操作说明</w:t>
      </w:r>
      <w:bookmarkEnd w:id="91"/>
      <w:bookmarkEnd w:id="9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</w:rPr>
        <w:t>点击</w:t>
      </w:r>
      <w:r>
        <w:drawing>
          <wp:inline distT="0" distB="0" distL="114300" distR="114300">
            <wp:extent cx="510540" cy="220980"/>
            <wp:effectExtent l="0" t="0" r="7620" b="7620"/>
            <wp:docPr id="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t>，打开</w:t>
      </w:r>
      <w:r>
        <w:rPr>
          <w:rFonts w:hint="eastAsia"/>
          <w:lang w:eastAsia="zh-CN"/>
        </w:rPr>
        <w:t>专户产品维护</w:t>
      </w:r>
      <w:r>
        <w:rPr>
          <w:rFonts w:hint="eastAsia"/>
          <w:lang w:val="en-US" w:eastAsia="zh-CN"/>
        </w:rPr>
        <w:t>界面，可在维护界面维护专户产品信息。</w:t>
      </w:r>
    </w:p>
    <w:p>
      <w:pPr>
        <w:pStyle w:val="24"/>
        <w:numPr>
          <w:ilvl w:val="0"/>
          <w:numId w:val="11"/>
        </w:numPr>
        <w:spacing w:line="360" w:lineRule="auto"/>
        <w:ind w:left="845" w:leftChars="0" w:hanging="425" w:firstLineChars="0"/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bookmarkStart w:id="93" w:name="_Toc32191"/>
      <w:bookmarkStart w:id="94" w:name="_Toc6427"/>
      <w:r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界面</w:t>
      </w:r>
      <w:bookmarkEnd w:id="93"/>
      <w:bookmarkEnd w:id="9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245725"/>
            <wp:effectExtent l="9525" t="9525" r="22860" b="16510"/>
            <wp:docPr id="10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5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11"/>
        </w:numPr>
        <w:spacing w:line="360" w:lineRule="auto"/>
        <w:ind w:left="845" w:leftChars="0" w:hanging="425" w:firstLineChars="0"/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bookmarkStart w:id="95" w:name="_Toc10701"/>
      <w:bookmarkStart w:id="96" w:name="_Toc22906"/>
      <w:r>
        <w:rPr>
          <w:rStyle w:val="17"/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元素说明</w:t>
      </w:r>
      <w:bookmarkEnd w:id="95"/>
      <w:bookmarkEnd w:id="96"/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产品基本信息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产品简称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资产代码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FIRST代码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根据基金业</w:t>
            </w: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协会要求编制，用于数据对外报送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产品归属部门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资产类型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1-证券投资基金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2-资产管理计划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1-股票型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2-债券型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3-混合型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4-货币型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5-指数型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管理类型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1-主动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2-被动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风险等级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1-高风险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2-中高风险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3-中等风险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4-中低风险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5-低风险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highlight w:val="yellow"/>
                <w:u w:val="none"/>
                <w:lang w:val="en-US" w:eastAsia="zh-CN" w:bidi="ar"/>
              </w:rPr>
              <w:t>产品转型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管理人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托管人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初始规模（元）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保留两位小数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成立日期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募集开始日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募集截止日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提前结束募集日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净值精度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输入保留几位小数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销售方式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多选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1-直销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2-代销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注册登记机构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1-上海中登TA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2-深圳中登TA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3-自建TA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Style w:val="33"/>
                <w:rFonts w:hint="eastAsia" w:asciiTheme="minorEastAsia" w:hAnsiTheme="minorEastAsia" w:eastAsiaTheme="minorEastAsia" w:cstheme="minorEastAsia"/>
                <w:color w:val="auto"/>
                <w:sz w:val="15"/>
                <w:szCs w:val="15"/>
                <w:lang w:val="en-US" w:eastAsia="zh-CN" w:bidi="ar"/>
              </w:rPr>
              <w:t>4-其他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是否分级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0-否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是否有投顾人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0-否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highlight w:val="yellow"/>
                <w:u w:val="none"/>
                <w:lang w:val="en-US" w:eastAsia="zh-CN" w:bidi="ar"/>
              </w:rPr>
              <w:t>是否有网下打新资格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0-否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是否开立银行间账户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0-否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交易资格信息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多选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1-交易所市场交易资格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2-上海清算所短期融资券业务平台资格申请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3-深交所综合协议交易平台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4-网下新股询价申购资格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5-银行间债券交易资格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6-大宗交易平台-上交所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7-固定收益平台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8-其他业务资格说明（如有以上未列事项说明）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S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代码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基金业协会备案通过后，提供的代码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是否估值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0-否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产品期限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期限单位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1-天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2-周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3-月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是否展期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0-否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委托人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清算日期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结算模式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1-银行结算模式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2-券商结算模式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产品所属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1-母公司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2-子公司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产品估值信息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组合代码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只读；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 w:val="0"/>
                <w:bCs w:val="0"/>
                <w:color w:val="auto"/>
                <w:sz w:val="15"/>
                <w:szCs w:val="15"/>
                <w:lang w:val="en-US" w:eastAsia="zh-CN"/>
              </w:rPr>
              <w:t>默认和资产代码一致；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组合币种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1-人民币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2-美元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3-港币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4-英镑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5-澳元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6-日元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7-欧元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8-新西兰元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9-新加坡元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组合级别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1-组合层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2-单元层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3-计划层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节假日群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1-中国节假日群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2-香港节假日群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3-港股通节假日群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资产类别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1-普通型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2-货币型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3-ETF群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4-联接型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产品状态</w:t>
            </w:r>
          </w:p>
        </w:tc>
        <w:tc>
          <w:tcPr>
            <w:tcW w:w="156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1-草稿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2-待发行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3-募集期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4-存续期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5-已到期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i w:val="0"/>
                <w:color w:val="auto"/>
                <w:kern w:val="0"/>
                <w:sz w:val="15"/>
                <w:szCs w:val="15"/>
                <w:u w:val="none"/>
                <w:lang w:val="en-US" w:eastAsia="zh-CN" w:bidi="ar"/>
              </w:rPr>
              <w:t>6-已清算</w:t>
            </w: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3"/>
        <w:spacing w:line="360" w:lineRule="auto"/>
        <w:rPr>
          <w:rFonts w:hint="eastAsia"/>
          <w:sz w:val="28"/>
          <w:szCs w:val="28"/>
          <w:lang w:val="en-US" w:eastAsia="zh-CN"/>
        </w:rPr>
      </w:pPr>
      <w:bookmarkStart w:id="97" w:name="_Toc14304"/>
      <w:bookmarkStart w:id="98" w:name="_Toc20091"/>
      <w:bookmarkStart w:id="99" w:name="_Toc8167"/>
      <w:bookmarkStart w:id="100" w:name="_Toc9233"/>
      <w:bookmarkStart w:id="101" w:name="_Toc20243"/>
      <w:r>
        <w:rPr>
          <w:rFonts w:hint="eastAsia"/>
          <w:sz w:val="28"/>
          <w:szCs w:val="28"/>
          <w:lang w:val="en-US" w:eastAsia="zh-CN"/>
        </w:rPr>
        <w:t>产品分级信息</w:t>
      </w:r>
      <w:bookmarkEnd w:id="97"/>
      <w:bookmarkEnd w:id="98"/>
      <w:bookmarkEnd w:id="99"/>
      <w:bookmarkEnd w:id="100"/>
      <w:bookmarkEnd w:id="101"/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02" w:name="_Toc3232"/>
      <w:bookmarkStart w:id="103" w:name="_Toc26770"/>
      <w:bookmarkStart w:id="104" w:name="_Toc3659"/>
      <w:bookmarkStart w:id="105" w:name="_Toc13801"/>
      <w:r>
        <w:rPr>
          <w:rFonts w:hint="eastAsia"/>
          <w:lang w:val="en-US" w:eastAsia="zh-CN"/>
        </w:rPr>
        <w:t>产品分级信息主界面</w:t>
      </w:r>
      <w:bookmarkEnd w:id="102"/>
      <w:bookmarkEnd w:id="103"/>
      <w:bookmarkEnd w:id="104"/>
      <w:bookmarkEnd w:id="105"/>
    </w:p>
    <w:p>
      <w:pPr>
        <w:pStyle w:val="24"/>
        <w:numPr>
          <w:ilvl w:val="0"/>
          <w:numId w:val="12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bookmarkStart w:id="106" w:name="_Toc28367"/>
      <w:bookmarkStart w:id="107" w:name="_Toc19106"/>
      <w:r>
        <w:rPr>
          <w:rStyle w:val="17"/>
          <w:rFonts w:hint="eastAsia"/>
          <w:sz w:val="21"/>
          <w:szCs w:val="22"/>
          <w:lang w:val="en-US" w:eastAsia="zh-CN"/>
        </w:rPr>
        <w:t>操作说明</w:t>
      </w:r>
      <w:bookmarkEnd w:id="106"/>
      <w:bookmarkEnd w:id="107"/>
    </w:p>
    <w:p>
      <w:pPr>
        <w:pStyle w:val="30"/>
        <w:keepNext w:val="0"/>
        <w:keepLines w:val="0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打开【产品管理】--&gt;点击【产品分级信息】；</w:t>
      </w:r>
    </w:p>
    <w:p>
      <w:pPr>
        <w:pStyle w:val="30"/>
        <w:keepNext w:val="0"/>
        <w:keepLines w:val="0"/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点击相应操作按钮，可以对分级产品进行新增、修改、复制、删除、审核、反审核、同步、查询的操作；</w:t>
      </w:r>
    </w:p>
    <w:p>
      <w:pPr>
        <w:pStyle w:val="24"/>
        <w:numPr>
          <w:ilvl w:val="0"/>
          <w:numId w:val="12"/>
        </w:numPr>
        <w:spacing w:line="360" w:lineRule="auto"/>
        <w:ind w:left="845" w:leftChars="0" w:hanging="425" w:firstLineChars="0"/>
        <w:rPr>
          <w:rFonts w:hint="eastAsia"/>
          <w:b w:val="0"/>
          <w:bCs/>
          <w:lang w:val="en-US" w:eastAsia="zh-CN"/>
        </w:rPr>
      </w:pPr>
      <w:bookmarkStart w:id="108" w:name="_Toc14362"/>
      <w:bookmarkStart w:id="109" w:name="_Toc2345"/>
      <w:r>
        <w:rPr>
          <w:rStyle w:val="17"/>
          <w:rFonts w:hint="eastAsia"/>
          <w:sz w:val="21"/>
          <w:szCs w:val="22"/>
          <w:lang w:val="en-US" w:eastAsia="zh-CN"/>
        </w:rPr>
        <w:t>界面</w:t>
      </w:r>
      <w:bookmarkEnd w:id="108"/>
      <w:bookmarkEnd w:id="109"/>
    </w:p>
    <w:p>
      <w:pPr>
        <w:spacing w:line="360" w:lineRule="auto"/>
      </w:pPr>
      <w:r>
        <w:drawing>
          <wp:inline distT="0" distB="0" distL="114300" distR="114300">
            <wp:extent cx="5267325" cy="2466340"/>
            <wp:effectExtent l="9525" t="9525" r="11430" b="23495"/>
            <wp:docPr id="10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12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bookmarkStart w:id="110" w:name="_Toc31651"/>
      <w:bookmarkStart w:id="111" w:name="_Toc1332"/>
      <w:r>
        <w:rPr>
          <w:rStyle w:val="17"/>
          <w:rFonts w:hint="eastAsia"/>
          <w:sz w:val="21"/>
          <w:szCs w:val="22"/>
          <w:lang w:val="en-US" w:eastAsia="zh-CN"/>
        </w:rPr>
        <w:t>按钮说明</w:t>
      </w:r>
      <w:bookmarkEnd w:id="110"/>
      <w:bookmarkEnd w:id="111"/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58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shd w:val="clear" w:color="auto" w:fill="BDD6EE" w:themeFill="accent1" w:themeFillTint="66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859" w:type="dxa"/>
            <w:shd w:val="clear" w:color="auto" w:fill="BDD6EE" w:themeFill="accent1" w:themeFillTint="66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859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同步（暂不支持）</w:t>
            </w:r>
          </w:p>
        </w:tc>
        <w:tc>
          <w:tcPr>
            <w:tcW w:w="585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 w:right="0" w:rightChars="0"/>
              <w:jc w:val="left"/>
              <w:textAlignment w:val="auto"/>
              <w:outlineLvl w:val="9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1.单选/多选记录，点击“同步”，</w:t>
            </w:r>
            <w:r>
              <w:rPr>
                <w:rFonts w:hint="eastAsia"/>
                <w:lang w:eastAsia="zh-CN"/>
              </w:rPr>
              <w:t>跳转至‘同步界面’，点击界面上方的同步按钮</w:t>
            </w:r>
            <w:r>
              <w:drawing>
                <wp:inline distT="0" distB="0" distL="114300" distR="114300">
                  <wp:extent cx="213360" cy="205740"/>
                  <wp:effectExtent l="0" t="0" r="0" b="7620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" cy="205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eastAsia="zh-CN"/>
              </w:rPr>
              <w:t>，点击后将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信息同步至估值系统的对应模块；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2.只可对已审核信息进行同步操作；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1.支持模糊查询；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2.输入“查询条件”后，点击“查询”，进行查询操作；</w:t>
            </w:r>
          </w:p>
        </w:tc>
      </w:tr>
    </w:tbl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12" w:name="_Toc31753"/>
      <w:bookmarkStart w:id="113" w:name="_Toc1661"/>
      <w:bookmarkStart w:id="114" w:name="_Toc29435"/>
      <w:bookmarkStart w:id="115" w:name="_Toc8478"/>
      <w:r>
        <w:rPr>
          <w:rFonts w:hint="eastAsia"/>
          <w:lang w:val="en-US" w:eastAsia="zh-CN"/>
        </w:rPr>
        <w:t>产品分级信息维护</w:t>
      </w:r>
      <w:bookmarkEnd w:id="112"/>
      <w:bookmarkEnd w:id="113"/>
      <w:bookmarkEnd w:id="114"/>
      <w:bookmarkEnd w:id="115"/>
    </w:p>
    <w:p>
      <w:pPr>
        <w:pStyle w:val="24"/>
        <w:numPr>
          <w:ilvl w:val="0"/>
          <w:numId w:val="14"/>
        </w:numPr>
        <w:spacing w:line="360" w:lineRule="auto"/>
        <w:ind w:left="845" w:leftChars="0" w:hanging="425" w:firstLineChars="0"/>
        <w:rPr>
          <w:rFonts w:hint="eastAsia"/>
          <w:b/>
          <w:bCs/>
          <w:lang w:eastAsia="zh-CN"/>
        </w:rPr>
      </w:pPr>
      <w:bookmarkStart w:id="116" w:name="_Toc9870"/>
      <w:bookmarkStart w:id="117" w:name="_Toc14441"/>
      <w:r>
        <w:rPr>
          <w:rFonts w:hint="eastAsia"/>
          <w:b/>
          <w:bCs/>
          <w:lang w:val="en-US" w:eastAsia="zh-CN"/>
        </w:rPr>
        <w:t>操作说明</w:t>
      </w:r>
      <w:bookmarkEnd w:id="116"/>
      <w:bookmarkEnd w:id="1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</w:rPr>
        <w:t>点击</w:t>
      </w:r>
      <w:r>
        <w:drawing>
          <wp:inline distT="0" distB="0" distL="114300" distR="114300">
            <wp:extent cx="510540" cy="220980"/>
            <wp:effectExtent l="0" t="0" r="7620" b="7620"/>
            <wp:docPr id="7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t>，打开</w:t>
      </w:r>
      <w:r>
        <w:rPr>
          <w:rFonts w:hint="eastAsia"/>
          <w:lang w:val="en-US" w:eastAsia="zh-CN"/>
        </w:rPr>
        <w:t>产品分级信息维护界面，可在维护界面维护产品分级信息。</w:t>
      </w:r>
    </w:p>
    <w:p>
      <w:pPr>
        <w:pStyle w:val="24"/>
        <w:numPr>
          <w:ilvl w:val="0"/>
          <w:numId w:val="14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bookmarkStart w:id="118" w:name="_Toc24751"/>
      <w:bookmarkStart w:id="119" w:name="_Toc8159"/>
      <w:r>
        <w:rPr>
          <w:rFonts w:hint="eastAsia"/>
          <w:b/>
          <w:bCs/>
          <w:sz w:val="21"/>
          <w:szCs w:val="22"/>
          <w:lang w:val="en-US" w:eastAsia="zh-CN"/>
        </w:rPr>
        <w:t>界面</w:t>
      </w:r>
      <w:bookmarkEnd w:id="118"/>
      <w:bookmarkEnd w:id="1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outlineLvl w:val="9"/>
        <w:rPr>
          <w:rFonts w:hint="eastAsia"/>
          <w:b/>
          <w:bCs/>
          <w:lang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1701165"/>
            <wp:effectExtent l="9525" t="9525" r="24130" b="11430"/>
            <wp:docPr id="26" name="图片 26" descr="产品分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产品分级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11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14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bookmarkStart w:id="120" w:name="_Toc3759"/>
      <w:bookmarkStart w:id="121" w:name="_Toc22062"/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  <w:bookmarkEnd w:id="120"/>
      <w:bookmarkEnd w:id="121"/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0" w:leftChars="0" w:right="0" w:rightChars="0" w:firstLine="0" w:firstLineChars="0"/>
              <w:jc w:val="center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分级基本信息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highlight w:val="yellow"/>
                <w:lang w:val="en-US" w:eastAsia="zh-CN" w:bidi="ar-SA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分级名称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分级代码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级别类型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选项：1-A级  2-B级  3-C级  4-H级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成立日期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默认加载产品“成立日期”；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到期日期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默认加载产品“到期日期”；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清算日期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默认加载产品“清算日期”；</w:t>
            </w:r>
          </w:p>
        </w:tc>
      </w:tr>
    </w:tbl>
    <w:p>
      <w:pPr>
        <w:spacing w:line="360" w:lineRule="auto"/>
      </w:pPr>
    </w:p>
    <w:p>
      <w:pPr>
        <w:spacing w:line="360" w:lineRule="auto"/>
      </w:pPr>
    </w:p>
    <w:p>
      <w:pPr>
        <w:pStyle w:val="2"/>
        <w:spacing w:line="360" w:lineRule="auto"/>
        <w:rPr>
          <w:rFonts w:hint="eastAsia"/>
          <w:sz w:val="32"/>
          <w:szCs w:val="32"/>
          <w:lang w:eastAsia="zh-CN"/>
        </w:rPr>
      </w:pPr>
      <w:bookmarkStart w:id="122" w:name="_Toc3445"/>
      <w:bookmarkStart w:id="123" w:name="_Toc22468"/>
      <w:bookmarkStart w:id="124" w:name="_Toc29818"/>
      <w:bookmarkStart w:id="125" w:name="_Toc7865"/>
      <w:bookmarkStart w:id="126" w:name="_Toc20257"/>
      <w:r>
        <w:rPr>
          <w:rFonts w:hint="eastAsia"/>
          <w:sz w:val="32"/>
          <w:szCs w:val="32"/>
          <w:lang w:eastAsia="zh-CN"/>
        </w:rPr>
        <w:t>账户管理</w:t>
      </w:r>
      <w:bookmarkEnd w:id="122"/>
      <w:bookmarkEnd w:id="123"/>
      <w:bookmarkEnd w:id="124"/>
      <w:bookmarkEnd w:id="125"/>
      <w:bookmarkEnd w:id="126"/>
    </w:p>
    <w:p>
      <w:pPr>
        <w:pStyle w:val="24"/>
        <w:numPr>
          <w:ilvl w:val="0"/>
          <w:numId w:val="15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eastAsia="zh-CN"/>
        </w:rPr>
      </w:pPr>
      <w:bookmarkStart w:id="127" w:name="_Toc21229"/>
      <w:bookmarkStart w:id="128" w:name="_Toc10964"/>
      <w:bookmarkStart w:id="129" w:name="_Toc25741"/>
      <w:r>
        <w:rPr>
          <w:rFonts w:hint="eastAsia"/>
          <w:b/>
          <w:bCs/>
          <w:sz w:val="21"/>
          <w:szCs w:val="22"/>
          <w:lang w:eastAsia="zh-CN"/>
        </w:rPr>
        <w:t>菜单说明</w:t>
      </w:r>
      <w:bookmarkEnd w:id="127"/>
      <w:bookmarkEnd w:id="128"/>
      <w:bookmarkEnd w:id="129"/>
    </w:p>
    <w:p>
      <w:pPr>
        <w:pStyle w:val="24"/>
        <w:numPr>
          <w:ilvl w:val="0"/>
          <w:numId w:val="3"/>
        </w:numPr>
      </w:pPr>
      <w:bookmarkStart w:id="130" w:name="_Toc13699"/>
      <w:r>
        <w:rPr>
          <w:rFonts w:hint="eastAsia"/>
        </w:rPr>
        <w:t>账户</w:t>
      </w:r>
      <w:r>
        <w:t>管理</w:t>
      </w:r>
      <w:bookmarkEnd w:id="130"/>
    </w:p>
    <w:p>
      <w:pPr>
        <w:pStyle w:val="24"/>
        <w:numPr>
          <w:ilvl w:val="0"/>
          <w:numId w:val="4"/>
        </w:numPr>
        <w:spacing w:line="360" w:lineRule="auto"/>
        <w:ind w:left="1050" w:leftChars="500" w:firstLineChars="0"/>
      </w:pPr>
      <w:r>
        <w:rPr>
          <w:rFonts w:hint="eastAsia"/>
        </w:rPr>
        <w:t>运营账户</w:t>
      </w:r>
      <w:r>
        <w:t>管理</w:t>
      </w:r>
    </w:p>
    <w:p>
      <w:pPr>
        <w:pStyle w:val="24"/>
        <w:numPr>
          <w:ilvl w:val="0"/>
          <w:numId w:val="16"/>
        </w:numPr>
        <w:spacing w:line="360" w:lineRule="auto"/>
        <w:ind w:left="1470" w:leftChars="700" w:firstLineChars="0"/>
        <w:rPr>
          <w:sz w:val="18"/>
        </w:rPr>
      </w:pPr>
      <w:bookmarkStart w:id="131" w:name="_Toc10191"/>
      <w:bookmarkStart w:id="132" w:name="_Toc12810"/>
      <w:r>
        <w:rPr>
          <w:rFonts w:hint="eastAsia"/>
          <w:sz w:val="18"/>
        </w:rPr>
        <w:t>FA</w:t>
      </w:r>
      <w:r>
        <w:rPr>
          <w:sz w:val="18"/>
        </w:rPr>
        <w:t>账户</w:t>
      </w:r>
      <w:bookmarkEnd w:id="131"/>
      <w:bookmarkEnd w:id="132"/>
    </w:p>
    <w:p>
      <w:pPr>
        <w:pStyle w:val="24"/>
        <w:numPr>
          <w:ilvl w:val="0"/>
          <w:numId w:val="16"/>
        </w:numPr>
        <w:spacing w:line="360" w:lineRule="auto"/>
        <w:ind w:left="1470" w:leftChars="700" w:firstLineChars="0"/>
        <w:rPr>
          <w:sz w:val="18"/>
        </w:rPr>
      </w:pPr>
      <w:bookmarkStart w:id="133" w:name="_Toc26488"/>
      <w:bookmarkStart w:id="134" w:name="_Toc5836"/>
      <w:r>
        <w:rPr>
          <w:rFonts w:hint="eastAsia"/>
          <w:sz w:val="18"/>
        </w:rPr>
        <w:t>TA</w:t>
      </w:r>
      <w:r>
        <w:rPr>
          <w:sz w:val="18"/>
        </w:rPr>
        <w:t>账户</w:t>
      </w:r>
      <w:bookmarkEnd w:id="133"/>
      <w:bookmarkEnd w:id="134"/>
    </w:p>
    <w:p>
      <w:pPr>
        <w:pStyle w:val="24"/>
        <w:numPr>
          <w:ilvl w:val="0"/>
          <w:numId w:val="4"/>
        </w:numPr>
        <w:spacing w:line="360" w:lineRule="auto"/>
        <w:ind w:left="1050" w:leftChars="500" w:firstLineChars="0"/>
      </w:pPr>
      <w:r>
        <w:rPr>
          <w:rFonts w:hint="eastAsia"/>
        </w:rPr>
        <w:t>公司账户管理</w:t>
      </w:r>
    </w:p>
    <w:p>
      <w:pPr>
        <w:pStyle w:val="24"/>
        <w:numPr>
          <w:ilvl w:val="0"/>
          <w:numId w:val="16"/>
        </w:numPr>
        <w:spacing w:line="360" w:lineRule="auto"/>
        <w:ind w:left="1470" w:leftChars="700" w:firstLineChars="0"/>
        <w:rPr>
          <w:sz w:val="18"/>
        </w:rPr>
      </w:pPr>
      <w:bookmarkStart w:id="135" w:name="_Toc16741"/>
      <w:bookmarkStart w:id="136" w:name="_Toc15630"/>
      <w:r>
        <w:rPr>
          <w:rFonts w:hint="eastAsia"/>
          <w:sz w:val="18"/>
        </w:rPr>
        <w:t>母公司</w:t>
      </w:r>
      <w:bookmarkEnd w:id="135"/>
      <w:bookmarkEnd w:id="136"/>
    </w:p>
    <w:p>
      <w:pPr>
        <w:pStyle w:val="24"/>
        <w:numPr>
          <w:ilvl w:val="0"/>
          <w:numId w:val="16"/>
        </w:numPr>
        <w:spacing w:line="360" w:lineRule="auto"/>
        <w:ind w:left="1470" w:leftChars="700" w:firstLineChars="0"/>
        <w:rPr>
          <w:sz w:val="18"/>
        </w:rPr>
      </w:pPr>
      <w:bookmarkStart w:id="137" w:name="_Toc20510"/>
      <w:bookmarkStart w:id="138" w:name="_Toc16223"/>
      <w:r>
        <w:rPr>
          <w:rFonts w:hint="eastAsia"/>
          <w:sz w:val="18"/>
        </w:rPr>
        <w:t>子公司</w:t>
      </w:r>
      <w:bookmarkEnd w:id="137"/>
      <w:bookmarkEnd w:id="138"/>
    </w:p>
    <w:p>
      <w:pPr>
        <w:pStyle w:val="24"/>
        <w:numPr>
          <w:ilvl w:val="0"/>
          <w:numId w:val="0"/>
        </w:numPr>
        <w:spacing w:line="360" w:lineRule="auto"/>
        <w:ind w:leftChars="700"/>
        <w:rPr>
          <w:sz w:val="18"/>
        </w:rPr>
      </w:pPr>
    </w:p>
    <w:p>
      <w:pPr>
        <w:pStyle w:val="24"/>
        <w:numPr>
          <w:ilvl w:val="0"/>
          <w:numId w:val="15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eastAsia="zh-CN"/>
        </w:rPr>
      </w:pPr>
      <w:bookmarkStart w:id="139" w:name="_Toc24274"/>
      <w:bookmarkStart w:id="140" w:name="_Toc12255"/>
      <w:bookmarkStart w:id="141" w:name="_Toc15137"/>
      <w:r>
        <w:rPr>
          <w:rFonts w:hint="eastAsia"/>
          <w:b/>
          <w:bCs/>
          <w:sz w:val="21"/>
          <w:szCs w:val="22"/>
          <w:lang w:eastAsia="zh-CN"/>
        </w:rPr>
        <w:t>操作说明</w:t>
      </w:r>
      <w:bookmarkEnd w:id="139"/>
      <w:bookmarkEnd w:id="140"/>
      <w:bookmarkEnd w:id="141"/>
    </w:p>
    <w:p>
      <w:pPr>
        <w:pStyle w:val="24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点击</w:t>
      </w:r>
      <w:r>
        <w:t>菜单中的FA账户/TA账户</w:t>
      </w:r>
      <w:r>
        <w:rPr>
          <w:rFonts w:hint="eastAsia"/>
        </w:rPr>
        <w:t>，在</w:t>
      </w:r>
      <w:r>
        <w:t>界面中</w:t>
      </w:r>
      <w:r>
        <w:rPr>
          <w:rFonts w:hint="eastAsia"/>
        </w:rPr>
        <w:t>加载</w:t>
      </w:r>
      <w:r>
        <w:t>对应的账户</w:t>
      </w:r>
      <w:r>
        <w:rPr>
          <w:rFonts w:hint="eastAsia"/>
        </w:rPr>
        <w:t>结构</w:t>
      </w:r>
      <w:r>
        <w:t>。</w:t>
      </w:r>
    </w:p>
    <w:p>
      <w:pPr>
        <w:pStyle w:val="24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点击</w:t>
      </w:r>
      <w:r>
        <w:t>菜单中的母公司</w:t>
      </w:r>
      <w:r>
        <w:rPr>
          <w:rFonts w:hint="eastAsia"/>
        </w:rPr>
        <w:t>/子公司</w:t>
      </w:r>
      <w:r>
        <w:t>，进入母公司账户管理</w:t>
      </w:r>
      <w:r>
        <w:rPr>
          <w:rFonts w:hint="eastAsia"/>
        </w:rPr>
        <w:t>/子公司</w:t>
      </w:r>
      <w:r>
        <w:t>账户管理界面。</w:t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</w:pPr>
    </w:p>
    <w:p>
      <w:pPr>
        <w:pStyle w:val="24"/>
        <w:numPr>
          <w:ilvl w:val="0"/>
          <w:numId w:val="15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eastAsia="zh-CN"/>
        </w:rPr>
      </w:pPr>
      <w:r>
        <w:rPr>
          <w:rFonts w:hint="eastAsia"/>
          <w:b/>
          <w:bCs/>
          <w:sz w:val="21"/>
          <w:szCs w:val="22"/>
          <w:lang w:eastAsia="zh-CN"/>
        </w:rPr>
        <w:t>界面</w:t>
      </w:r>
    </w:p>
    <w:p>
      <w:pPr>
        <w:spacing w:line="360" w:lineRule="auto"/>
      </w:pPr>
      <w:r>
        <w:drawing>
          <wp:inline distT="0" distB="0" distL="0" distR="0">
            <wp:extent cx="5274310" cy="2818130"/>
            <wp:effectExtent l="9525" t="9525" r="19685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pStyle w:val="3"/>
        <w:spacing w:line="360" w:lineRule="auto"/>
        <w:rPr>
          <w:rFonts w:hint="eastAsia"/>
          <w:sz w:val="28"/>
          <w:szCs w:val="28"/>
          <w:lang w:eastAsia="zh-CN"/>
        </w:rPr>
      </w:pPr>
      <w:bookmarkStart w:id="142" w:name="_Toc11886"/>
      <w:bookmarkStart w:id="143" w:name="_Toc13967"/>
      <w:bookmarkStart w:id="144" w:name="_Toc9884"/>
      <w:r>
        <w:rPr>
          <w:rFonts w:hint="eastAsia"/>
          <w:sz w:val="28"/>
          <w:szCs w:val="28"/>
          <w:lang w:eastAsia="zh-CN"/>
        </w:rPr>
        <w:t>账户管理主界面</w:t>
      </w:r>
      <w:bookmarkEnd w:id="142"/>
      <w:bookmarkEnd w:id="143"/>
      <w:bookmarkEnd w:id="144"/>
    </w:p>
    <w:p>
      <w:pPr>
        <w:pStyle w:val="24"/>
        <w:numPr>
          <w:ilvl w:val="0"/>
          <w:numId w:val="18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操作说明</w:t>
      </w:r>
    </w:p>
    <w:p>
      <w:pPr>
        <w:pStyle w:val="30"/>
        <w:keepNext w:val="0"/>
        <w:keepLines w:val="0"/>
        <w:pageBreakBefore w:val="0"/>
        <w:widowControl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在账户信息主界面，点击相应按钮可以进行账户的新增、修改、复制、删除、审核、</w:t>
      </w:r>
      <w:r>
        <w:rPr>
          <w:rFonts w:hint="eastAsia"/>
          <w:b w:val="0"/>
          <w:bCs/>
          <w:lang w:val="en-US" w:eastAsia="zh-CN"/>
        </w:rPr>
        <w:tab/>
      </w:r>
      <w:r>
        <w:rPr>
          <w:rFonts w:hint="eastAsia"/>
          <w:b w:val="0"/>
          <w:bCs/>
          <w:lang w:val="en-US" w:eastAsia="zh-CN"/>
        </w:rPr>
        <w:t>反审核、查询等操作。</w:t>
      </w:r>
    </w:p>
    <w:p>
      <w:pPr>
        <w:pStyle w:val="3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Fonts w:hint="eastAsia"/>
          <w:b w:val="0"/>
          <w:bCs/>
          <w:lang w:val="en-US" w:eastAsia="zh-CN"/>
        </w:rPr>
      </w:pPr>
    </w:p>
    <w:p>
      <w:pPr>
        <w:pStyle w:val="24"/>
        <w:numPr>
          <w:ilvl w:val="0"/>
          <w:numId w:val="18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1956435"/>
            <wp:effectExtent l="9525" t="9525" r="13335" b="15240"/>
            <wp:docPr id="16" name="图片 16" descr="账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账户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64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</w:p>
    <w:p>
      <w:pPr>
        <w:pStyle w:val="24"/>
        <w:numPr>
          <w:ilvl w:val="0"/>
          <w:numId w:val="18"/>
        </w:numPr>
        <w:spacing w:line="360" w:lineRule="auto"/>
        <w:ind w:left="84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按钮说明</w:t>
      </w:r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58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859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859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1.支持模糊查询；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2.输入“查询条件”后，点击“查询”，进行查询操作；</w:t>
            </w:r>
          </w:p>
        </w:tc>
      </w:tr>
    </w:tbl>
    <w:p>
      <w:pPr>
        <w:pStyle w:val="24"/>
        <w:numPr>
          <w:ilvl w:val="0"/>
          <w:numId w:val="0"/>
        </w:numPr>
        <w:spacing w:line="360" w:lineRule="auto"/>
        <w:rPr>
          <w:rFonts w:hint="eastAsia"/>
          <w:b w:val="0"/>
          <w:bCs w:val="0"/>
          <w:lang w:val="en-US" w:eastAsia="zh-CN"/>
        </w:rPr>
      </w:pPr>
    </w:p>
    <w:p>
      <w:pPr>
        <w:pStyle w:val="3"/>
        <w:spacing w:line="360" w:lineRule="auto"/>
        <w:rPr>
          <w:rFonts w:hint="eastAsia"/>
          <w:sz w:val="28"/>
          <w:szCs w:val="28"/>
        </w:rPr>
      </w:pPr>
      <w:bookmarkStart w:id="145" w:name="_Toc13350"/>
      <w:bookmarkStart w:id="146" w:name="_Toc5304"/>
      <w:bookmarkStart w:id="147" w:name="_Toc8368"/>
      <w:r>
        <w:rPr>
          <w:rFonts w:hint="eastAsia"/>
          <w:sz w:val="28"/>
          <w:szCs w:val="28"/>
          <w:lang w:eastAsia="zh-CN"/>
        </w:rPr>
        <w:t>账户信息</w:t>
      </w:r>
      <w:r>
        <w:rPr>
          <w:rFonts w:hint="eastAsia"/>
          <w:sz w:val="28"/>
          <w:szCs w:val="28"/>
        </w:rPr>
        <w:t>维护</w:t>
      </w:r>
      <w:bookmarkEnd w:id="145"/>
      <w:bookmarkEnd w:id="146"/>
      <w:bookmarkEnd w:id="147"/>
    </w:p>
    <w:p>
      <w:pPr>
        <w:pStyle w:val="24"/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操作说明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b w:val="0"/>
          <w:bCs w:val="0"/>
          <w:sz w:val="21"/>
          <w:szCs w:val="22"/>
          <w:lang w:val="en-US" w:eastAsia="zh-CN"/>
        </w:rPr>
      </w:pPr>
      <w:r>
        <w:rPr>
          <w:rFonts w:hint="eastAsia"/>
          <w:b w:val="0"/>
          <w:bCs w:val="0"/>
          <w:sz w:val="21"/>
          <w:szCs w:val="22"/>
          <w:lang w:val="en-US" w:eastAsia="zh-CN"/>
        </w:rPr>
        <w:t>账户管理主界面，点击“添加”按钮，打开账户维护界面。</w:t>
      </w:r>
    </w:p>
    <w:p>
      <w:pPr>
        <w:spacing w:line="360" w:lineRule="auto"/>
      </w:pPr>
    </w:p>
    <w:p>
      <w:pPr>
        <w:pStyle w:val="24"/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bookmarkStart w:id="148" w:name="_2.2维护界面按钮"/>
      <w:r>
        <w:rPr>
          <w:rFonts w:hint="eastAsia"/>
          <w:b/>
          <w:bCs/>
          <w:sz w:val="21"/>
          <w:szCs w:val="22"/>
          <w:lang w:val="en-US" w:eastAsia="zh-CN"/>
        </w:rPr>
        <w:t>按钮说明</w:t>
      </w:r>
    </w:p>
    <w:p>
      <w:pPr>
        <w:pStyle w:val="24"/>
        <w:numPr>
          <w:ilvl w:val="2"/>
          <w:numId w:val="3"/>
        </w:numPr>
        <w:spacing w:line="360" w:lineRule="auto"/>
        <w:ind w:left="2100" w:leftChars="0" w:firstLineChars="0"/>
        <w:rPr>
          <w:rFonts w:hint="eastAsia"/>
        </w:rPr>
      </w:pPr>
      <w:r>
        <w:rPr>
          <w:rFonts w:hint="eastAsia"/>
        </w:rPr>
        <w:t>保存</w:t>
      </w:r>
    </w:p>
    <w:p>
      <w:pPr>
        <w:pStyle w:val="24"/>
        <w:numPr>
          <w:ilvl w:val="2"/>
          <w:numId w:val="3"/>
        </w:numPr>
        <w:spacing w:line="360" w:lineRule="auto"/>
        <w:ind w:left="2100" w:leftChars="0" w:firstLineChars="0"/>
      </w:pPr>
      <w:r>
        <w:rPr>
          <w:rFonts w:hint="eastAsia"/>
        </w:rPr>
        <w:t>新增</w:t>
      </w:r>
    </w:p>
    <w:p>
      <w:pPr>
        <w:pStyle w:val="24"/>
        <w:numPr>
          <w:ilvl w:val="2"/>
          <w:numId w:val="3"/>
        </w:numPr>
        <w:spacing w:line="360" w:lineRule="auto"/>
        <w:ind w:left="2100" w:leftChars="0" w:firstLineChars="0"/>
      </w:pPr>
      <w:r>
        <w:rPr>
          <w:rFonts w:hint="eastAsia"/>
        </w:rPr>
        <w:t>修改</w:t>
      </w:r>
    </w:p>
    <w:p>
      <w:pPr>
        <w:pStyle w:val="24"/>
        <w:numPr>
          <w:ilvl w:val="2"/>
          <w:numId w:val="3"/>
        </w:numPr>
        <w:spacing w:line="360" w:lineRule="auto"/>
        <w:ind w:left="2100" w:leftChars="0" w:firstLineChars="0"/>
      </w:pPr>
      <w:r>
        <w:rPr>
          <w:rFonts w:hint="eastAsia"/>
        </w:rPr>
        <w:t>复制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20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bookmarkEnd w:id="148"/>
    <w:p>
      <w:pPr>
        <w:numPr>
          <w:ilvl w:val="0"/>
          <w:numId w:val="21"/>
        </w:numPr>
        <w:spacing w:line="360" w:lineRule="auto"/>
        <w:ind w:left="1265" w:leftChars="0" w:hanging="425" w:firstLineChars="0"/>
      </w:pPr>
      <w:r>
        <w:rPr>
          <w:rFonts w:hint="eastAsia"/>
          <w:lang w:eastAsia="zh-CN"/>
        </w:rPr>
        <w:t>界面按钮</w:t>
      </w:r>
    </w:p>
    <w:p>
      <w:pPr>
        <w:spacing w:line="360" w:lineRule="auto"/>
        <w:jc w:val="center"/>
        <w:rPr>
          <w:rFonts w:hint="eastAsia"/>
        </w:rPr>
      </w:pPr>
      <w:r>
        <w:drawing>
          <wp:inline distT="0" distB="0" distL="0" distR="0">
            <wp:extent cx="3187700" cy="1548765"/>
            <wp:effectExtent l="0" t="0" r="1270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5592" cy="155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spacing w:line="360" w:lineRule="auto"/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账户信息</w:t>
      </w:r>
    </w:p>
    <w:p>
      <w:pPr>
        <w:spacing w:line="360" w:lineRule="auto"/>
        <w:jc w:val="center"/>
      </w:pPr>
      <w:r>
        <w:drawing>
          <wp:inline distT="0" distB="0" distL="0" distR="0">
            <wp:extent cx="3625215" cy="2217420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rcRect l="-420" t="571" r="420" b="17878"/>
                    <a:stretch>
                      <a:fillRect/>
                    </a:stretch>
                  </pic:blipFill>
                  <pic:spPr>
                    <a:xfrm>
                      <a:off x="0" y="0"/>
                      <a:ext cx="3635932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spacing w:line="360" w:lineRule="auto"/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账户附件</w:t>
      </w:r>
    </w:p>
    <w:p>
      <w:pPr>
        <w:spacing w:line="360" w:lineRule="auto"/>
        <w:jc w:val="center"/>
      </w:pPr>
      <w:r>
        <w:drawing>
          <wp:inline distT="0" distB="0" distL="0" distR="0">
            <wp:extent cx="3727450" cy="1481455"/>
            <wp:effectExtent l="0" t="0" r="635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2637" cy="148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spacing w:line="360" w:lineRule="auto"/>
        <w:ind w:left="126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联系人信息</w:t>
      </w:r>
    </w:p>
    <w:p>
      <w:p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0" distR="0">
            <wp:extent cx="4150360" cy="1624965"/>
            <wp:effectExtent l="0" t="0" r="1016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126" cy="16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49" w:name="_Toc5047"/>
      <w:bookmarkStart w:id="150" w:name="_Toc31941"/>
      <w:r>
        <w:rPr>
          <w:rFonts w:hint="eastAsia"/>
          <w:lang w:val="en-US" w:eastAsia="zh-CN"/>
        </w:rPr>
        <w:t>公司账户</w:t>
      </w:r>
      <w:bookmarkEnd w:id="149"/>
      <w:bookmarkEnd w:id="150"/>
    </w:p>
    <w:p>
      <w:pPr>
        <w:pStyle w:val="24"/>
        <w:numPr>
          <w:ilvl w:val="0"/>
          <w:numId w:val="22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6523355"/>
            <wp:effectExtent l="9525" t="9525" r="13970" b="2032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523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22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W w:w="85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  <w:jc w:val="center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大额支付号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加载所有系统所有的机构信息；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1-一般账户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2-基本账户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3-风险准备金账户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利率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保留四位小数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用途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4"/>
        <w:spacing w:line="360" w:lineRule="auto"/>
        <w:rPr>
          <w:rFonts w:hint="eastAsia"/>
          <w:lang w:val="en-US" w:eastAsia="zh-CN"/>
        </w:rPr>
      </w:pPr>
      <w:bookmarkStart w:id="151" w:name="_Toc28898"/>
      <w:bookmarkStart w:id="152" w:name="_Toc16724"/>
      <w:r>
        <w:rPr>
          <w:rFonts w:hint="eastAsia"/>
          <w:lang w:val="en-US" w:eastAsia="zh-CN"/>
        </w:rPr>
        <w:t>账户通用界面（1）</w:t>
      </w:r>
      <w:bookmarkEnd w:id="151"/>
      <w:bookmarkEnd w:id="15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此账户界面复用于多种类型的账户（投资顾问费账户、中债结算服务费、委托人账户、投资标的账户），且都需和产品进行关联。</w:t>
      </w:r>
    </w:p>
    <w:p>
      <w:pPr>
        <w:pStyle w:val="24"/>
        <w:numPr>
          <w:ilvl w:val="0"/>
          <w:numId w:val="23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5435600"/>
            <wp:effectExtent l="9525" t="9525" r="10160" b="10795"/>
            <wp:docPr id="29" name="图片 29" descr="关联产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关联产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4356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23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W w:w="85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  <w:jc w:val="center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大额支付号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加载所有系统所有的机构信息；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利率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保留四位小数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用途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val="en-US" w:eastAsia="zh-CN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资产代码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加载“产品全称”对应的“资产代码”；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</w:tc>
      </w:tr>
    </w:tbl>
    <w:p>
      <w:pPr>
        <w:spacing w:line="360" w:lineRule="auto"/>
        <w:rPr>
          <w:rFonts w:hint="eastAsia"/>
          <w:lang w:val="en-US" w:eastAsia="zh-CN"/>
        </w:rPr>
      </w:pPr>
    </w:p>
    <w:p>
      <w:pPr>
        <w:pStyle w:val="4"/>
        <w:spacing w:line="360" w:lineRule="auto"/>
        <w:rPr>
          <w:rFonts w:hint="eastAsia"/>
        </w:rPr>
      </w:pPr>
      <w:bookmarkStart w:id="153" w:name="_Toc1420"/>
      <w:bookmarkStart w:id="154" w:name="_Toc5015"/>
      <w:bookmarkStart w:id="155" w:name="_账户通用界面（2）"/>
      <w:r>
        <w:rPr>
          <w:rFonts w:hint="eastAsia"/>
          <w:lang w:val="en-US" w:eastAsia="zh-CN"/>
        </w:rPr>
        <w:t>账户通用界面（2）</w:t>
      </w:r>
      <w:bookmarkEnd w:id="153"/>
      <w:bookmarkEnd w:id="154"/>
    </w:p>
    <w:bookmarkEnd w:id="155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账户界面适用于多种类型的账户（上清所结算服务费、外汇交易中心交易手续费账户、审计费账户、信息披露费账户、总清算账户、费用清算账户、委贷类账户、销售机构账户），此类账户无需和产品进行关联。</w:t>
      </w:r>
    </w:p>
    <w:p>
      <w:pPr>
        <w:pStyle w:val="24"/>
        <w:numPr>
          <w:ilvl w:val="0"/>
          <w:numId w:val="24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4720590"/>
            <wp:effectExtent l="9525" t="9525" r="10160" b="9525"/>
            <wp:docPr id="31" name="图片 31" descr="不关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不关联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20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24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W w:w="85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  <w:jc w:val="center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大额支付号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加载所有系统所有的机构信息；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利率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保留四位小数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用途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56" w:name="_Toc1070"/>
      <w:bookmarkStart w:id="157" w:name="_Toc9144"/>
      <w:r>
        <w:rPr>
          <w:rFonts w:hint="eastAsia"/>
          <w:lang w:val="en-US" w:eastAsia="zh-CN"/>
        </w:rPr>
        <w:t>券商佣金账户</w:t>
      </w:r>
      <w:bookmarkEnd w:id="156"/>
      <w:bookmarkEnd w:id="157"/>
    </w:p>
    <w:p>
      <w:pPr>
        <w:pStyle w:val="24"/>
        <w:numPr>
          <w:ilvl w:val="0"/>
          <w:numId w:val="25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5219065"/>
            <wp:effectExtent l="9525" t="9525" r="12700" b="13970"/>
            <wp:docPr id="32" name="图片 32" descr="券商佣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券商佣金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19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25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大额支付号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加载“证券公司”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利率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保留四位小数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用途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交易单元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根据“账户所属机构”，加载该券商项下所有的交易单元记录；</w:t>
            </w:r>
          </w:p>
        </w:tc>
      </w:tr>
    </w:tbl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Fonts w:hint="eastAsia"/>
          <w:b/>
          <w:bCs/>
          <w:sz w:val="21"/>
          <w:szCs w:val="22"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58" w:name="_Toc10121"/>
      <w:bookmarkStart w:id="159" w:name="_Toc26406"/>
      <w:r>
        <w:rPr>
          <w:rFonts w:hint="eastAsia"/>
          <w:lang w:val="en-US" w:eastAsia="zh-CN"/>
        </w:rPr>
        <w:t>上市费账户</w:t>
      </w:r>
      <w:bookmarkEnd w:id="158"/>
      <w:bookmarkEnd w:id="159"/>
    </w:p>
    <w:p>
      <w:pPr>
        <w:pStyle w:val="24"/>
        <w:numPr>
          <w:ilvl w:val="0"/>
          <w:numId w:val="26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5147310"/>
            <wp:effectExtent l="9525" t="9525" r="23495" b="9525"/>
            <wp:docPr id="33" name="图片 33" descr="上市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上市费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7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26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大额支付号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利率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保留四位小数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用途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交易市场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1-上海证券交易所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2-深圳证券交易所</w:t>
            </w: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60" w:name="_Toc18789"/>
      <w:bookmarkStart w:id="161" w:name="_Toc27573"/>
      <w:r>
        <w:rPr>
          <w:rFonts w:hint="eastAsia"/>
          <w:lang w:val="en-US" w:eastAsia="zh-CN"/>
        </w:rPr>
        <w:t>托管户</w:t>
      </w:r>
      <w:bookmarkEnd w:id="160"/>
      <w:bookmarkEnd w:id="161"/>
    </w:p>
    <w:p>
      <w:pPr>
        <w:pStyle w:val="24"/>
        <w:numPr>
          <w:ilvl w:val="0"/>
          <w:numId w:val="27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6162040"/>
            <wp:effectExtent l="9525" t="9525" r="21590" b="15875"/>
            <wp:docPr id="34" name="图片 34" descr="托管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托管户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62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27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大额支付号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利率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保留四位小数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用途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both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资产代码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加载“产品全称”对应的“资产代码”；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val="en-US" w:eastAsia="zh-CN"/>
              </w:rPr>
              <w:t>IPO备案账户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选项：1-是  2-否；默认值：是；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银证转账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选项：1-是  2-否；默认值：否；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银期转账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选项：1-是  2-否；默认值：否；</w:t>
            </w: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62" w:name="_Toc30070"/>
      <w:bookmarkStart w:id="163" w:name="_Toc14191"/>
      <w:r>
        <w:rPr>
          <w:rFonts w:hint="eastAsia"/>
          <w:lang w:val="en-US" w:eastAsia="zh-CN"/>
        </w:rPr>
        <w:t>存款账户</w:t>
      </w:r>
      <w:bookmarkEnd w:id="162"/>
      <w:bookmarkEnd w:id="163"/>
    </w:p>
    <w:p>
      <w:pPr>
        <w:pStyle w:val="24"/>
        <w:numPr>
          <w:ilvl w:val="0"/>
          <w:numId w:val="28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6899275"/>
            <wp:effectExtent l="9525" t="9525" r="23495" b="10160"/>
            <wp:docPr id="35" name="图片 35" descr="存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存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992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28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大额支付号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利率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保留四位小数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用途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both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资产代码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加载“产品全称”对应的“资产代码”；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其他信息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预留印鉴情况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托管人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托管人地址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none"/>
                <w:lang w:val="en-US" w:eastAsia="zh-CN"/>
              </w:rPr>
              <w:t>联系人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none"/>
                <w:lang w:val="en-US" w:eastAsia="zh-CN"/>
              </w:rPr>
              <w:t>联系电话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none"/>
                <w:lang w:val="en-US" w:eastAsia="zh-CN"/>
              </w:rPr>
              <w:t>存款行名称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none"/>
                <w:lang w:val="en-US" w:eastAsia="zh-CN"/>
              </w:rPr>
              <w:t>存款行地址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val="en-US" w:eastAsia="zh-CN"/>
              </w:rPr>
              <w:t>延期利率一段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val="en-US" w:eastAsia="zh-CN"/>
              </w:rPr>
              <w:t>延期利率二段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数字</w:t>
            </w: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64" w:name="_Toc13888"/>
      <w:bookmarkStart w:id="165" w:name="_Toc23560"/>
      <w:r>
        <w:rPr>
          <w:rFonts w:hint="eastAsia"/>
          <w:lang w:val="en-US" w:eastAsia="zh-CN"/>
        </w:rPr>
        <w:t>证券保证金账户</w:t>
      </w:r>
      <w:bookmarkEnd w:id="164"/>
      <w:bookmarkEnd w:id="165"/>
    </w:p>
    <w:p>
      <w:pPr>
        <w:pStyle w:val="24"/>
        <w:numPr>
          <w:ilvl w:val="0"/>
          <w:numId w:val="29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5920105"/>
            <wp:effectExtent l="9525" t="9525" r="13970" b="13970"/>
            <wp:docPr id="37" name="图片 37" descr="证券保证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证券保证金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9201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29"/>
        </w:numPr>
        <w:spacing w:line="360" w:lineRule="auto"/>
        <w:ind w:left="84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用途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both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资产代码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加载“产品全称”对应的“资产代码”；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其他信息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交易</w:t>
            </w: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/资金密码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密码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默认密文，点击“解锁”，输入并通过授权码验证后，展示明文；</w:t>
            </w: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66" w:name="_Toc2369"/>
      <w:bookmarkStart w:id="167" w:name="_Toc18679"/>
      <w:r>
        <w:rPr>
          <w:rFonts w:hint="eastAsia"/>
          <w:lang w:val="en-US" w:eastAsia="zh-CN"/>
        </w:rPr>
        <w:t>中登账户</w:t>
      </w:r>
      <w:bookmarkEnd w:id="166"/>
      <w:bookmarkEnd w:id="167"/>
    </w:p>
    <w:p>
      <w:pPr>
        <w:pStyle w:val="24"/>
        <w:numPr>
          <w:ilvl w:val="0"/>
          <w:numId w:val="30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5641340"/>
            <wp:effectExtent l="9525" t="9525" r="12065" b="18415"/>
            <wp:docPr id="38" name="图片 38" descr="中登账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中登账户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41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30"/>
        </w:numPr>
        <w:spacing w:line="360" w:lineRule="auto"/>
        <w:ind w:left="84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大额支付号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利率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保留四位小数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用途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both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结算编号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销售商代码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eastAsia="zh-CN"/>
        </w:rPr>
      </w:pPr>
      <w:bookmarkStart w:id="168" w:name="_Toc15720"/>
      <w:bookmarkStart w:id="169" w:name="_Toc402"/>
      <w:r>
        <w:rPr>
          <w:rFonts w:hint="eastAsia"/>
          <w:lang w:eastAsia="zh-CN"/>
        </w:rPr>
        <w:t>证券账户</w:t>
      </w:r>
      <w:bookmarkEnd w:id="168"/>
      <w:bookmarkEnd w:id="169"/>
    </w:p>
    <w:p>
      <w:pPr>
        <w:pStyle w:val="24"/>
        <w:numPr>
          <w:ilvl w:val="0"/>
          <w:numId w:val="31"/>
        </w:numPr>
        <w:spacing w:line="360" w:lineRule="auto"/>
        <w:ind w:left="845" w:leftChars="0" w:hanging="425" w:firstLineChars="0"/>
        <w:rPr>
          <w:rFonts w:hint="eastAsia"/>
          <w:lang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040" cy="6029325"/>
            <wp:effectExtent l="9525" t="9525" r="20955" b="11430"/>
            <wp:docPr id="40" name="图片 40" descr="证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证券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29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</w:p>
    <w:p>
      <w:pPr>
        <w:pStyle w:val="24"/>
        <w:numPr>
          <w:ilvl w:val="0"/>
          <w:numId w:val="31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val="en-US" w:eastAsia="zh-CN"/>
              </w:rPr>
              <w:t>一码通证券账户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both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资产代码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加载“产品全称”对应的“资产代码”；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其他信息</w:t>
            </w: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交易市场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1-上海证券交易所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2-深圳证券交易所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账户简称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spacing w:line="360" w:lineRule="auto"/>
        <w:rPr>
          <w:rFonts w:hint="eastAsia"/>
          <w:b/>
          <w:bCs/>
          <w:lang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70" w:name="_Toc5833"/>
      <w:bookmarkStart w:id="171" w:name="_Toc26005"/>
      <w:r>
        <w:rPr>
          <w:rFonts w:hint="eastAsia"/>
          <w:lang w:val="en-US" w:eastAsia="zh-CN"/>
        </w:rPr>
        <w:t>基金账户</w:t>
      </w:r>
      <w:bookmarkEnd w:id="170"/>
      <w:bookmarkEnd w:id="171"/>
    </w:p>
    <w:p>
      <w:pPr>
        <w:pStyle w:val="24"/>
        <w:numPr>
          <w:ilvl w:val="0"/>
          <w:numId w:val="32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4498340"/>
            <wp:effectExtent l="9525" t="9525" r="13335" b="18415"/>
            <wp:docPr id="42" name="图片 42" descr="基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基金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98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32"/>
        </w:numPr>
        <w:spacing w:line="360" w:lineRule="auto"/>
        <w:ind w:left="84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注册登记机构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1-中登深圳TA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2-中登上海TA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3-自建TA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4-其他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其他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当“注册登记机构”=‘其他’时，可以编辑；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交易账号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可输入多个交易账号；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多个交易账号之间用“，”分隔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交易</w:t>
            </w: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/资金密码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密码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默认密文，点击“解锁”，输入并通过授权码验证后，展示明文；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both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资产代码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加载“产品全称”对应的“资产代码”；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72" w:name="_Toc27968"/>
      <w:bookmarkStart w:id="173" w:name="_Toc12251"/>
      <w:r>
        <w:rPr>
          <w:rFonts w:hint="eastAsia"/>
          <w:lang w:val="en-US" w:eastAsia="zh-CN"/>
        </w:rPr>
        <w:t>期货账户</w:t>
      </w:r>
      <w:bookmarkEnd w:id="172"/>
      <w:bookmarkEnd w:id="173"/>
    </w:p>
    <w:p>
      <w:pPr>
        <w:pStyle w:val="24"/>
        <w:numPr>
          <w:ilvl w:val="0"/>
          <w:numId w:val="33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7515860"/>
            <wp:effectExtent l="9525" t="9525" r="13970" b="18415"/>
            <wp:docPr id="20" name="图片 20" descr="期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期货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5158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33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pPr w:leftFromText="180" w:rightFromText="180" w:vertAnchor="text" w:horzAnchor="page" w:tblpX="1770" w:tblpY="462"/>
        <w:tblOverlap w:val="never"/>
        <w:tblW w:w="855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期货资金账号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交易</w:t>
            </w: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/资金密码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密码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默认密文，点击“解锁”，输入并通过授权码验证后，展示明文；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监控中心账号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监控中心密码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密码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默认密文，点击“解锁”，输入并通过授权码验证后，展示明文；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both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资产代码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加载“产品全称”对应的“资产代码”；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资金账户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默认：期货公司保证金账户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利率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保留四位小数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大额支付号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期货编码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交易市场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1-中国金融期货交易所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2-郑州商品期货交易所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3-大连商品期货交易所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4-上海商品期货交易所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交易类型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选项：1-投机  2-套利  3-套保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5" w:type="dxa"/>
            <w:vMerge w:val="continue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编码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spacing w:line="360" w:lineRule="auto"/>
        <w:rPr>
          <w:rFonts w:hint="eastAsia"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74" w:name="_Toc5771"/>
      <w:bookmarkStart w:id="175" w:name="_Toc28156"/>
      <w:r>
        <w:rPr>
          <w:rFonts w:hint="eastAsia"/>
          <w:lang w:eastAsia="zh-CN"/>
        </w:rPr>
        <w:t>直销账户</w:t>
      </w:r>
      <w:bookmarkEnd w:id="174"/>
      <w:bookmarkEnd w:id="175"/>
    </w:p>
    <w:p>
      <w:pPr>
        <w:pStyle w:val="24"/>
        <w:numPr>
          <w:ilvl w:val="0"/>
          <w:numId w:val="34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5285740"/>
            <wp:effectExtent l="9525" t="9525" r="24130" b="23495"/>
            <wp:docPr id="1" name="图片 1" descr="直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直销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857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34"/>
        </w:numPr>
        <w:spacing w:line="360" w:lineRule="auto"/>
        <w:ind w:left="84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W w:w="85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  <w:jc w:val="center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ind w:left="0" w:left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校验唯一性；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大额支付号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账户所属机构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加载所有系统所有的机构信息；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利率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保留四位小数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用途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Align w:val="top"/>
          </w:tcPr>
          <w:p>
            <w:pPr>
              <w:spacing w:line="24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  <w:t>细分类型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1-柜台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2-电商</w:t>
            </w: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76" w:name="_Toc7060"/>
      <w:bookmarkStart w:id="177" w:name="_Toc22692"/>
      <w:r>
        <w:rPr>
          <w:rFonts w:hint="eastAsia"/>
          <w:lang w:val="en-US" w:eastAsia="zh-CN"/>
        </w:rPr>
        <w:t>中债银行间债券账户</w:t>
      </w:r>
      <w:bookmarkEnd w:id="176"/>
      <w:bookmarkEnd w:id="177"/>
    </w:p>
    <w:p>
      <w:pPr>
        <w:pStyle w:val="24"/>
        <w:numPr>
          <w:ilvl w:val="0"/>
          <w:numId w:val="35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6233795"/>
            <wp:effectExtent l="9525" t="9525" r="21590" b="20320"/>
            <wp:docPr id="43" name="图片 43" descr="中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中债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337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35"/>
        </w:numPr>
        <w:spacing w:line="360" w:lineRule="auto"/>
        <w:ind w:left="84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W w:w="85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  <w:jc w:val="center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默认：银行间市场清算所股份有限公司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交易市场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默认：中国银行间交易市场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产品信息</w:t>
            </w: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val="en-US" w:eastAsia="zh-CN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资产代码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加载“产品全称”对应的“资产代码”；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银行将资金账户</w:t>
            </w: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默认：上清所DVP账户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银行间债券账户</w:t>
            </w: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默认：上清所债券账户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spacing w:line="360" w:lineRule="auto"/>
        <w:rPr>
          <w:rFonts w:hint="eastAsia"/>
          <w:b/>
          <w:bCs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78" w:name="_Toc7116"/>
      <w:bookmarkStart w:id="179" w:name="_Toc3799"/>
      <w:r>
        <w:rPr>
          <w:rFonts w:hint="eastAsia"/>
          <w:lang w:val="en-US" w:eastAsia="zh-CN"/>
        </w:rPr>
        <w:t>上清所银行间债券账户</w:t>
      </w:r>
      <w:bookmarkEnd w:id="178"/>
      <w:bookmarkEnd w:id="179"/>
    </w:p>
    <w:p>
      <w:pPr>
        <w:pStyle w:val="24"/>
        <w:numPr>
          <w:ilvl w:val="0"/>
          <w:numId w:val="36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6118225"/>
            <wp:effectExtent l="9525" t="9525" r="12065" b="13970"/>
            <wp:docPr id="44" name="图片 44" descr="上清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上清所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18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4"/>
        <w:numPr>
          <w:ilvl w:val="0"/>
          <w:numId w:val="36"/>
        </w:numPr>
        <w:spacing w:line="360" w:lineRule="auto"/>
        <w:ind w:left="845" w:leftChars="0" w:hanging="425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元素说明</w:t>
      </w:r>
    </w:p>
    <w:tbl>
      <w:tblPr>
        <w:tblStyle w:val="21"/>
        <w:tblW w:w="85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  <w:jc w:val="center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center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账户信息</w:t>
            </w: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默认：中央国债登记结算有限责任公司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交易市场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默认：中国银行间交易市场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销户日期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top"/>
          </w:tcPr>
          <w:p>
            <w:pPr>
              <w:spacing w:line="360" w:lineRule="auto"/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产品信息</w:t>
            </w: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val="en-US" w:eastAsia="zh-CN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资产代码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加载“产品全称”对应的“资产代码”；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银行将资金账户</w:t>
            </w: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默认：中债DVP账户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spacing w:line="24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 w:val="0"/>
                <w:bCs w:val="0"/>
                <w:sz w:val="21"/>
                <w:szCs w:val="21"/>
                <w:lang w:val="en-US" w:eastAsia="zh-CN"/>
              </w:rPr>
              <w:t>银行间债券账户</w:t>
            </w: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默认：中债债券账户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账户名称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spacing w:line="360" w:lineRule="auto"/>
        <w:rPr>
          <w:rFonts w:hint="eastAsia"/>
          <w:lang w:val="en-US" w:eastAsia="zh-CN"/>
        </w:rPr>
      </w:pPr>
    </w:p>
    <w:p>
      <w:pPr>
        <w:pStyle w:val="2"/>
        <w:spacing w:line="360" w:lineRule="auto"/>
        <w:rPr>
          <w:rFonts w:hint="eastAsia"/>
          <w:sz w:val="32"/>
          <w:szCs w:val="32"/>
          <w:lang w:val="en-US" w:eastAsia="zh-CN"/>
        </w:rPr>
      </w:pPr>
      <w:bookmarkStart w:id="180" w:name="_Toc15429"/>
      <w:bookmarkStart w:id="181" w:name="_Toc5048"/>
      <w:bookmarkStart w:id="182" w:name="_Toc18874"/>
      <w:bookmarkStart w:id="183" w:name="_Toc24220"/>
      <w:bookmarkStart w:id="184" w:name="_Toc12846"/>
      <w:r>
        <w:rPr>
          <w:rFonts w:hint="eastAsia"/>
          <w:sz w:val="32"/>
          <w:szCs w:val="32"/>
          <w:lang w:val="en-US" w:eastAsia="zh-CN"/>
        </w:rPr>
        <w:t>公共功能</w:t>
      </w:r>
      <w:bookmarkEnd w:id="180"/>
      <w:bookmarkEnd w:id="181"/>
      <w:bookmarkEnd w:id="182"/>
      <w:bookmarkEnd w:id="183"/>
      <w:bookmarkEnd w:id="184"/>
    </w:p>
    <w:p>
      <w:pPr>
        <w:pStyle w:val="24"/>
        <w:numPr>
          <w:ilvl w:val="0"/>
          <w:numId w:val="3"/>
        </w:numPr>
        <w:rPr>
          <w:rFonts w:hint="eastAsia"/>
          <w:sz w:val="21"/>
          <w:szCs w:val="22"/>
        </w:rPr>
      </w:pPr>
      <w:bookmarkStart w:id="185" w:name="_Toc3441"/>
      <w:bookmarkStart w:id="186" w:name="_Toc6327"/>
      <w:r>
        <w:rPr>
          <w:rFonts w:hint="eastAsia"/>
          <w:sz w:val="21"/>
          <w:szCs w:val="22"/>
          <w:lang w:eastAsia="zh-CN"/>
        </w:rPr>
        <w:t>公共功能</w:t>
      </w:r>
      <w:bookmarkEnd w:id="185"/>
      <w:bookmarkEnd w:id="186"/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产品干系人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投研人员管理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外部人员管理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重大事项提示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主体信息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审计机构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销售机构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合同信息管理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交易单元管理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交易单元绑定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500" w:right="0" w:rightChars="0" w:firstLine="418" w:firstLine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……</w:t>
      </w:r>
    </w:p>
    <w:p>
      <w:pPr>
        <w:pStyle w:val="3"/>
        <w:spacing w:line="360" w:lineRule="auto"/>
        <w:rPr>
          <w:rFonts w:hint="eastAsia"/>
          <w:sz w:val="28"/>
          <w:szCs w:val="28"/>
          <w:lang w:val="en-US" w:eastAsia="zh-CN"/>
        </w:rPr>
      </w:pPr>
      <w:bookmarkStart w:id="187" w:name="_Toc27760"/>
      <w:bookmarkStart w:id="188" w:name="_Toc3172"/>
      <w:bookmarkStart w:id="189" w:name="_Toc14784"/>
      <w:bookmarkStart w:id="190" w:name="_Toc22934"/>
      <w:bookmarkStart w:id="191" w:name="_Toc6884"/>
      <w:r>
        <w:rPr>
          <w:rFonts w:hint="eastAsia"/>
          <w:sz w:val="28"/>
          <w:szCs w:val="28"/>
          <w:lang w:val="en-US" w:eastAsia="zh-CN"/>
        </w:rPr>
        <w:t>产品干系人</w:t>
      </w:r>
      <w:bookmarkEnd w:id="187"/>
      <w:bookmarkEnd w:id="188"/>
      <w:bookmarkEnd w:id="189"/>
      <w:bookmarkEnd w:id="190"/>
      <w:bookmarkEnd w:id="191"/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92" w:name="_Toc13565"/>
      <w:bookmarkStart w:id="193" w:name="_Toc8136"/>
      <w:bookmarkStart w:id="194" w:name="_Toc10367"/>
      <w:bookmarkStart w:id="195" w:name="_Toc15072"/>
      <w:r>
        <w:rPr>
          <w:rFonts w:hint="eastAsia"/>
          <w:lang w:val="en-US" w:eastAsia="zh-CN"/>
        </w:rPr>
        <w:t>产品干系人主界面</w:t>
      </w:r>
      <w:bookmarkEnd w:id="192"/>
      <w:bookmarkEnd w:id="193"/>
      <w:bookmarkEnd w:id="194"/>
      <w:bookmarkEnd w:id="195"/>
    </w:p>
    <w:p>
      <w:pPr>
        <w:pStyle w:val="24"/>
        <w:numPr>
          <w:ilvl w:val="0"/>
          <w:numId w:val="37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</w:rPr>
      </w:pPr>
      <w:bookmarkStart w:id="196" w:name="_Toc32037"/>
      <w:r>
        <w:rPr>
          <w:rStyle w:val="17"/>
          <w:rFonts w:hint="eastAsia"/>
          <w:sz w:val="21"/>
          <w:szCs w:val="22"/>
        </w:rPr>
        <w:t>操作说明</w:t>
      </w:r>
      <w:bookmarkEnd w:id="196"/>
    </w:p>
    <w:p>
      <w:pPr>
        <w:pStyle w:val="30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打开【公共功能】--&gt;点击【产品干系人】；</w:t>
      </w:r>
    </w:p>
    <w:p>
      <w:pPr>
        <w:pStyle w:val="30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系统界面加载【产品干系人】的主界面，界面上端</w:t>
      </w:r>
      <w:r>
        <w:rPr>
          <w:rFonts w:hint="eastAsia"/>
          <w:lang w:eastAsia="zh-CN"/>
        </w:rPr>
        <w:t>有“基金经理/基金经理助理、内部干系人、外部关系人”三个分页，点击分页，</w:t>
      </w:r>
      <w:r>
        <w:rPr>
          <w:rFonts w:hint="eastAsia" w:ascii="宋体" w:hAnsi="宋体"/>
          <w:sz w:val="21"/>
          <w:lang w:eastAsia="zh-CN"/>
        </w:rPr>
        <w:t>可获取该类型的所有记录；</w:t>
      </w:r>
    </w:p>
    <w:p>
      <w:pPr>
        <w:pStyle w:val="30"/>
        <w:keepNext w:val="0"/>
        <w:keepLines w:val="0"/>
        <w:pageBreakBefore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/>
          <w:b w:val="0"/>
          <w:bCs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点击相应操作按钮，可以对信息进行新增、修改、复制、删除、审核、反审核、同步、查询的操作；</w:t>
      </w:r>
    </w:p>
    <w:p>
      <w:pPr>
        <w:pStyle w:val="24"/>
        <w:numPr>
          <w:ilvl w:val="0"/>
          <w:numId w:val="37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bookmarkStart w:id="197" w:name="_Toc13841"/>
      <w:r>
        <w:rPr>
          <w:rStyle w:val="17"/>
          <w:rFonts w:hint="eastAsia"/>
          <w:sz w:val="21"/>
          <w:szCs w:val="22"/>
          <w:lang w:eastAsia="zh-CN"/>
        </w:rPr>
        <w:t>界面</w:t>
      </w:r>
      <w:bookmarkEnd w:id="197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325" cy="2455545"/>
            <wp:effectExtent l="9525" t="9525" r="11430" b="19050"/>
            <wp:docPr id="10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5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37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bookmarkStart w:id="198" w:name="_Toc12978"/>
      <w:r>
        <w:rPr>
          <w:rStyle w:val="17"/>
          <w:rFonts w:hint="eastAsia"/>
          <w:sz w:val="21"/>
          <w:szCs w:val="22"/>
          <w:lang w:val="en-US" w:eastAsia="zh-CN"/>
        </w:rPr>
        <w:t>按钮说明</w:t>
      </w:r>
      <w:bookmarkEnd w:id="198"/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58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859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859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1.支持模糊查询；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2.输入“查询条件”后，点击“查询”，进行查询操作；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免职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39"/>
              </w:numPr>
              <w:tabs>
                <w:tab w:val="clear" w:pos="312"/>
              </w:tabs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只限【基金经理/基金经理助理】功能使用；</w:t>
            </w:r>
          </w:p>
          <w:p>
            <w:pPr>
              <w:pStyle w:val="30"/>
              <w:numPr>
                <w:ilvl w:val="0"/>
                <w:numId w:val="39"/>
              </w:numPr>
              <w:tabs>
                <w:tab w:val="clear" w:pos="312"/>
              </w:tabs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新增记录并审批通过后，“免职”按钮显示于“操作栏”；</w:t>
            </w:r>
          </w:p>
        </w:tc>
      </w:tr>
    </w:tbl>
    <w:p>
      <w:pPr>
        <w:spacing w:line="360" w:lineRule="auto"/>
        <w:ind w:firstLine="420" w:firstLineChars="0"/>
        <w:rPr>
          <w:rFonts w:hint="eastAsia"/>
          <w:lang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199" w:name="_Toc29572"/>
      <w:bookmarkStart w:id="200" w:name="_Toc23609"/>
      <w:bookmarkStart w:id="201" w:name="_Toc7166"/>
      <w:bookmarkStart w:id="202" w:name="_Toc14162"/>
      <w:r>
        <w:rPr>
          <w:rFonts w:hint="eastAsia"/>
          <w:lang w:val="en-US" w:eastAsia="zh-CN"/>
        </w:rPr>
        <w:t>基金经理/基金经理助理</w:t>
      </w:r>
      <w:bookmarkEnd w:id="199"/>
      <w:bookmarkEnd w:id="200"/>
      <w:bookmarkEnd w:id="201"/>
      <w:bookmarkEnd w:id="202"/>
    </w:p>
    <w:p>
      <w:pPr>
        <w:pStyle w:val="5"/>
        <w:ind w:left="93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pPr>
        <w:pStyle w:val="24"/>
        <w:numPr>
          <w:ilvl w:val="0"/>
          <w:numId w:val="40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操作说明</w:t>
      </w:r>
    </w:p>
    <w:p>
      <w:pPr>
        <w:pStyle w:val="30"/>
        <w:keepNext w:val="0"/>
        <w:keepLines w:val="0"/>
        <w:pageBreakBefore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b w:val="0"/>
          <w:bCs w:val="0"/>
          <w:sz w:val="21"/>
          <w:lang w:val="en-US" w:eastAsia="zh-CN"/>
        </w:rPr>
      </w:pPr>
      <w:r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  <w:t>产品干系人--&gt;点击“</w:t>
      </w:r>
      <w:r>
        <w:rPr>
          <w:rFonts w:hint="eastAsia" w:ascii="宋体" w:hAnsi="宋体"/>
          <w:b/>
          <w:bCs/>
          <w:sz w:val="21"/>
          <w:lang w:val="en-US" w:eastAsia="zh-CN"/>
        </w:rPr>
        <w:t>基金经理/基金经理助理</w:t>
      </w:r>
      <w:r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  <w:t>”</w:t>
      </w:r>
      <w:r>
        <w:rPr>
          <w:rFonts w:hint="eastAsia" w:ascii="宋体" w:hAnsi="宋体"/>
          <w:b w:val="0"/>
          <w:bCs w:val="0"/>
          <w:sz w:val="21"/>
          <w:lang w:val="en-US" w:eastAsia="zh-CN"/>
        </w:rPr>
        <w:t>分页</w:t>
      </w:r>
    </w:p>
    <w:p>
      <w:pPr>
        <w:pStyle w:val="30"/>
        <w:keepNext w:val="0"/>
        <w:keepLines w:val="0"/>
        <w:pageBreakBefore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b w:val="0"/>
          <w:bCs w:val="0"/>
          <w:sz w:val="21"/>
          <w:lang w:val="en-US" w:eastAsia="zh-CN"/>
        </w:rPr>
      </w:pPr>
      <w:r>
        <w:rPr>
          <w:rFonts w:hint="eastAsia"/>
        </w:rPr>
        <w:t>点击</w:t>
      </w:r>
      <w:r>
        <w:drawing>
          <wp:inline distT="0" distB="0" distL="114300" distR="114300">
            <wp:extent cx="510540" cy="220980"/>
            <wp:effectExtent l="0" t="0" r="7620" b="7620"/>
            <wp:docPr id="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</w:t>
      </w:r>
      <w:r>
        <w:rPr>
          <w:rFonts w:hint="eastAsia"/>
          <w:b w:val="0"/>
          <w:bCs w:val="0"/>
          <w:lang w:eastAsia="zh-CN"/>
        </w:rPr>
        <w:t>跳转至</w:t>
      </w:r>
      <w:r>
        <w:rPr>
          <w:rFonts w:hint="eastAsia" w:ascii="宋体" w:hAnsi="宋体"/>
          <w:b w:val="0"/>
          <w:bCs w:val="0"/>
          <w:sz w:val="21"/>
          <w:lang w:val="en-US" w:eastAsia="zh-CN"/>
        </w:rPr>
        <w:t>基金经理/基金经理助理信息</w:t>
      </w:r>
      <w:r>
        <w:rPr>
          <w:rFonts w:hint="eastAsia"/>
          <w:b w:val="0"/>
          <w:bCs w:val="0"/>
          <w:lang w:eastAsia="zh-CN"/>
        </w:rPr>
        <w:t>维护</w:t>
      </w:r>
      <w:r>
        <w:rPr>
          <w:rFonts w:hint="eastAsia"/>
          <w:b w:val="0"/>
          <w:bCs w:val="0"/>
          <w:lang w:val="en-US" w:eastAsia="zh-CN"/>
        </w:rPr>
        <w:t>界面，可在维护界面维护</w:t>
      </w:r>
      <w:r>
        <w:rPr>
          <w:rFonts w:hint="eastAsia" w:ascii="宋体" w:hAnsi="宋体"/>
          <w:b w:val="0"/>
          <w:bCs w:val="0"/>
          <w:sz w:val="21"/>
          <w:lang w:val="en-US" w:eastAsia="zh-CN"/>
        </w:rPr>
        <w:t>基金经理/基金经理助理信息</w:t>
      </w:r>
    </w:p>
    <w:p>
      <w:pPr>
        <w:pStyle w:val="24"/>
        <w:numPr>
          <w:ilvl w:val="0"/>
          <w:numId w:val="40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界面</w:t>
      </w:r>
    </w:p>
    <w:p>
      <w:pPr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405120" cy="2573655"/>
            <wp:effectExtent l="0" t="0" r="5080" b="1905"/>
            <wp:docPr id="23" name="图片 23" descr="2017-11-30_170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17-11-30_1702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30" w:leftChars="0" w:firstLine="880"/>
        <w:jc w:val="both"/>
        <w:rPr>
          <w:rStyle w:val="17"/>
          <w:rFonts w:hint="eastAsia"/>
          <w:b/>
          <w:sz w:val="21"/>
          <w:szCs w:val="22"/>
          <w:lang w:val="en-US" w:eastAsia="zh-CN"/>
        </w:rPr>
      </w:pPr>
      <w:r>
        <w:rPr>
          <w:rStyle w:val="17"/>
          <w:rFonts w:hint="eastAsia"/>
          <w:b/>
          <w:sz w:val="21"/>
          <w:szCs w:val="22"/>
          <w:lang w:val="en-US" w:eastAsia="zh-CN"/>
        </w:rPr>
        <w:t>维护界面</w:t>
      </w:r>
    </w:p>
    <w:p>
      <w:pPr>
        <w:pStyle w:val="24"/>
        <w:numPr>
          <w:ilvl w:val="0"/>
          <w:numId w:val="42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新增界面</w:t>
      </w:r>
    </w:p>
    <w:p>
      <w:pPr>
        <w:spacing w:line="360" w:lineRule="auto"/>
        <w:rPr>
          <w:rFonts w:hint="eastAsia"/>
          <w:lang w:eastAsia="zh-CN"/>
        </w:rPr>
      </w:pPr>
      <w:r>
        <w:drawing>
          <wp:inline distT="0" distB="0" distL="114300" distR="114300">
            <wp:extent cx="5273040" cy="8173720"/>
            <wp:effectExtent l="9525" t="9525" r="20955" b="15875"/>
            <wp:docPr id="11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73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42"/>
        </w:numPr>
        <w:spacing w:line="360" w:lineRule="auto"/>
        <w:ind w:left="845" w:leftChars="0" w:hanging="425" w:firstLineChars="0"/>
        <w:rPr>
          <w:rStyle w:val="17"/>
          <w:rFonts w:hint="eastAsia"/>
          <w:color w:val="000000" w:themeColor="text1"/>
          <w:sz w:val="21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17"/>
          <w:rFonts w:hint="eastAsia"/>
          <w:color w:val="000000" w:themeColor="text1"/>
          <w:sz w:val="21"/>
          <w:szCs w:val="22"/>
          <w:lang w:val="en-US" w:eastAsia="zh-CN"/>
          <w14:textFill>
            <w14:solidFill>
              <w14:schemeClr w14:val="tx1"/>
            </w14:solidFill>
          </w14:textFill>
        </w:rPr>
        <w:t>免职界面</w:t>
      </w:r>
    </w:p>
    <w:p>
      <w:r>
        <w:drawing>
          <wp:inline distT="0" distB="0" distL="114300" distR="114300">
            <wp:extent cx="5338445" cy="2000250"/>
            <wp:effectExtent l="0" t="0" r="1079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eastAsia="zh-CN"/>
        </w:rPr>
      </w:pPr>
    </w:p>
    <w:p>
      <w:pPr>
        <w:pStyle w:val="24"/>
        <w:numPr>
          <w:ilvl w:val="0"/>
          <w:numId w:val="42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元素说明</w:t>
      </w:r>
    </w:p>
    <w:tbl>
      <w:tblPr>
        <w:tblStyle w:val="21"/>
        <w:tblW w:w="85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  <w:jc w:val="center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基本信息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highlight w:val="yellow"/>
                <w:u w:val="none"/>
                <w:lang w:val="en-US" w:eastAsia="zh-CN" w:bidi="ar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1.“免职”操作时，只读；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姓名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415" w:type="dxa"/>
            <w:gridSpan w:val="2"/>
            <w:vAlign w:val="top"/>
          </w:tcPr>
          <w:p>
            <w:pPr>
              <w:numPr>
                <w:ilvl w:val="0"/>
                <w:numId w:val="43"/>
              </w:num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选项为所有的基金经理；</w:t>
            </w:r>
          </w:p>
          <w:p>
            <w:pPr>
              <w:numPr>
                <w:ilvl w:val="0"/>
                <w:numId w:val="43"/>
              </w:num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“免职”操作时，只读；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现任部门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restart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1.只读；根据基金经理“姓名”自动加载；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2.若基金经理信息中无本项内容，则空；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3.“免职”操作时，只读；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现任岗位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最高毕业院校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最高学历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最高学位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专业名称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任职信息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决议编号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restart"/>
            <w:vAlign w:val="center"/>
          </w:tcPr>
          <w:p>
            <w:pPr>
              <w:spacing w:line="360" w:lineRule="auto"/>
              <w:jc w:val="both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1.“免职”操作时，只读；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highlight w:val="yellow"/>
                <w:u w:val="none"/>
                <w:lang w:val="en-US" w:eastAsia="zh-CN" w:bidi="ar"/>
              </w:rPr>
              <w:t>总办会决议日期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总办会相关决议事项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highlight w:val="yellow"/>
                <w:u w:val="none"/>
                <w:lang w:val="en-US" w:eastAsia="zh-CN" w:bidi="ar"/>
              </w:rPr>
              <w:t>开始日期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备注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免职信息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决议编号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restart"/>
            <w:vAlign w:val="center"/>
          </w:tcPr>
          <w:p>
            <w:pPr>
              <w:numPr>
                <w:ilvl w:val="0"/>
                <w:numId w:val="44"/>
              </w:numPr>
              <w:spacing w:line="360" w:lineRule="auto"/>
              <w:jc w:val="both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“新增”时，只读；</w:t>
            </w:r>
          </w:p>
          <w:p>
            <w:pPr>
              <w:numPr>
                <w:ilvl w:val="0"/>
                <w:numId w:val="44"/>
              </w:numPr>
              <w:spacing w:line="360" w:lineRule="auto"/>
              <w:jc w:val="both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“免职”操作时，可编辑。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总办会决议日期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总办会相关决议事项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highlight w:val="yellow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highlight w:val="yellow"/>
                <w:u w:val="none"/>
                <w:lang w:val="en-US" w:eastAsia="zh-CN" w:bidi="ar"/>
              </w:rPr>
              <w:t>离任日期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highlight w:val="yellow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highlight w:val="yellow"/>
                <w:u w:val="none"/>
                <w:lang w:val="en-US" w:eastAsia="zh-CN" w:bidi="ar"/>
              </w:rPr>
              <w:t>结束日期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备注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Merge w:val="continue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  <w:lang w:val="en-US" w:eastAsia="zh-CN"/>
        </w:rPr>
      </w:pPr>
    </w:p>
    <w:p>
      <w:pPr>
        <w:pStyle w:val="30"/>
        <w:spacing w:line="360" w:lineRule="auto"/>
        <w:rPr>
          <w:rFonts w:hint="eastAsia" w:ascii="宋体" w:hAnsi="宋体"/>
          <w:b/>
          <w:bCs/>
          <w:sz w:val="21"/>
          <w:lang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203" w:name="_Toc19197"/>
      <w:bookmarkStart w:id="204" w:name="_Toc7903"/>
      <w:bookmarkStart w:id="205" w:name="_Toc19901"/>
      <w:bookmarkStart w:id="206" w:name="_Toc10202"/>
      <w:r>
        <w:rPr>
          <w:rFonts w:hint="eastAsia"/>
          <w:lang w:val="en-US" w:eastAsia="zh-CN"/>
        </w:rPr>
        <w:t>内部干系人</w:t>
      </w:r>
      <w:bookmarkEnd w:id="203"/>
      <w:bookmarkEnd w:id="204"/>
      <w:bookmarkEnd w:id="205"/>
      <w:bookmarkEnd w:id="206"/>
    </w:p>
    <w:p>
      <w:pPr>
        <w:pStyle w:val="5"/>
        <w:ind w:left="93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pPr>
        <w:pStyle w:val="24"/>
        <w:numPr>
          <w:ilvl w:val="0"/>
          <w:numId w:val="45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操作说明</w:t>
      </w:r>
    </w:p>
    <w:p>
      <w:pPr>
        <w:pStyle w:val="30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</w:pPr>
      <w:r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  <w:t>产品干系人--&gt;点击“内部干系人”分页；</w:t>
      </w:r>
    </w:p>
    <w:p>
      <w:pPr>
        <w:pStyle w:val="30"/>
        <w:keepNext w:val="0"/>
        <w:keepLines w:val="0"/>
        <w:pageBreakBefore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</w:pPr>
      <w:r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  <w:t>点击</w:t>
      </w:r>
      <w:r>
        <w:drawing>
          <wp:inline distT="0" distB="0" distL="114300" distR="114300">
            <wp:extent cx="510540" cy="220980"/>
            <wp:effectExtent l="0" t="0" r="7620" b="7620"/>
            <wp:docPr id="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  <w:t>按钮，跳转至内部干系人信息维护界面，可在维护界面维护内部干系人信息。</w:t>
      </w:r>
    </w:p>
    <w:p>
      <w:pPr>
        <w:pStyle w:val="24"/>
        <w:numPr>
          <w:ilvl w:val="0"/>
          <w:numId w:val="45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界面</w:t>
      </w:r>
    </w:p>
    <w:p>
      <w:pPr>
        <w:pStyle w:val="30"/>
        <w:spacing w:line="360" w:lineRule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325" cy="2274570"/>
            <wp:effectExtent l="0" t="0" r="5715" b="11430"/>
            <wp:docPr id="1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930" w:leftChars="0" w:firstLine="880"/>
        <w:jc w:val="both"/>
        <w:rPr>
          <w:rFonts w:hint="eastAsia"/>
          <w:b/>
          <w:bCs/>
          <w:lang w:eastAsia="zh-CN"/>
        </w:rPr>
      </w:pPr>
      <w:r>
        <w:rPr>
          <w:rStyle w:val="17"/>
          <w:rFonts w:hint="eastAsia"/>
          <w:b/>
          <w:sz w:val="21"/>
          <w:szCs w:val="22"/>
          <w:lang w:val="en-US" w:eastAsia="zh-CN"/>
        </w:rPr>
        <w:t>维护界面</w:t>
      </w:r>
    </w:p>
    <w:p>
      <w:pPr>
        <w:pStyle w:val="24"/>
        <w:numPr>
          <w:ilvl w:val="0"/>
          <w:numId w:val="47"/>
        </w:numPr>
        <w:spacing w:line="360" w:lineRule="auto"/>
        <w:ind w:left="845" w:leftChars="0" w:hanging="425" w:firstLineChars="0"/>
        <w:rPr>
          <w:rFonts w:hint="eastAsia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128520"/>
            <wp:effectExtent l="9525" t="9525" r="13970" b="10795"/>
            <wp:docPr id="8" name="图片 8" descr="内部干系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内部干系人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85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47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元素说明</w:t>
      </w:r>
    </w:p>
    <w:tbl>
      <w:tblPr>
        <w:tblStyle w:val="21"/>
        <w:tblW w:w="85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  <w:jc w:val="center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基本信息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highlight w:val="yellow"/>
                <w:u w:val="none"/>
                <w:lang w:val="en-US" w:eastAsia="zh-CN" w:bidi="ar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下拉选择，加载自产品表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姓名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现任部门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根据姓名自动加载；只读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干系人类型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选项：1-产品经理, 2-项目经理,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3-清算会计, 4-核算会计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任职信息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开始日期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结束日期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207" w:name="_Toc7892"/>
      <w:bookmarkStart w:id="208" w:name="_Toc20795"/>
      <w:bookmarkStart w:id="209" w:name="_Toc16330"/>
      <w:bookmarkStart w:id="210" w:name="_Toc29051"/>
      <w:r>
        <w:rPr>
          <w:rFonts w:hint="eastAsia"/>
          <w:lang w:val="en-US" w:eastAsia="zh-CN"/>
        </w:rPr>
        <w:t>外部干系人维护</w:t>
      </w:r>
      <w:bookmarkEnd w:id="207"/>
      <w:bookmarkEnd w:id="208"/>
      <w:bookmarkEnd w:id="209"/>
      <w:bookmarkEnd w:id="210"/>
    </w:p>
    <w:p>
      <w:pPr>
        <w:pStyle w:val="5"/>
        <w:ind w:left="93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pPr>
        <w:pStyle w:val="24"/>
        <w:numPr>
          <w:ilvl w:val="0"/>
          <w:numId w:val="48"/>
        </w:numPr>
        <w:spacing w:line="360" w:lineRule="auto"/>
        <w:ind w:left="845" w:leftChars="0" w:hanging="425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操作说明</w:t>
      </w:r>
    </w:p>
    <w:p>
      <w:pPr>
        <w:pStyle w:val="30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</w:pPr>
      <w:r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  <w:t>产品干系人--&gt;“外部干系人”分页；</w:t>
      </w:r>
    </w:p>
    <w:p>
      <w:pPr>
        <w:pStyle w:val="30"/>
        <w:keepNext w:val="0"/>
        <w:keepLines w:val="0"/>
        <w:pageBreakBefore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</w:pPr>
      <w:r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  <w:t>点击</w:t>
      </w:r>
      <w:r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  <w:drawing>
          <wp:inline distT="0" distB="0" distL="114300" distR="114300">
            <wp:extent cx="457200" cy="205740"/>
            <wp:effectExtent l="0" t="0" r="0" b="7620"/>
            <wp:docPr id="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 w:val="0"/>
          <w:bCs w:val="0"/>
          <w:i w:val="0"/>
          <w:iCs w:val="0"/>
          <w:sz w:val="21"/>
          <w:lang w:val="en-US" w:eastAsia="zh-CN"/>
        </w:rPr>
        <w:t>按钮，跳转至外部干系人信息维护界面，可在维护界面维护外部干系人信息。</w:t>
      </w:r>
    </w:p>
    <w:p>
      <w:pPr>
        <w:pStyle w:val="24"/>
        <w:numPr>
          <w:ilvl w:val="0"/>
          <w:numId w:val="48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pStyle w:val="30"/>
        <w:numPr>
          <w:ilvl w:val="0"/>
          <w:numId w:val="0"/>
        </w:numPr>
        <w:spacing w:line="360" w:lineRule="auto"/>
        <w:ind w:left="0" w:leftChars="0" w:firstLine="0" w:firstLine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325" cy="2452370"/>
            <wp:effectExtent l="0" t="0" r="5715" b="1270"/>
            <wp:docPr id="11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930" w:leftChars="0" w:firstLine="880"/>
        <w:jc w:val="both"/>
        <w:rPr>
          <w:rFonts w:hint="eastAsia" w:eastAsiaTheme="minorEastAsia"/>
          <w:lang w:eastAsia="zh-CN"/>
        </w:rPr>
      </w:pPr>
      <w:r>
        <w:rPr>
          <w:rStyle w:val="17"/>
          <w:rFonts w:hint="eastAsia"/>
          <w:b/>
          <w:sz w:val="21"/>
          <w:szCs w:val="22"/>
          <w:lang w:val="en-US" w:eastAsia="zh-CN"/>
        </w:rPr>
        <w:t>维护界面</w:t>
      </w:r>
    </w:p>
    <w:p>
      <w:pPr>
        <w:pStyle w:val="24"/>
        <w:numPr>
          <w:ilvl w:val="0"/>
          <w:numId w:val="50"/>
        </w:numPr>
        <w:spacing w:line="360" w:lineRule="auto"/>
        <w:ind w:left="845" w:leftChars="0" w:hanging="425" w:firstLineChars="0"/>
        <w:rPr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b/>
          <w:bCs/>
          <w:sz w:val="21"/>
          <w:szCs w:val="22"/>
          <w:lang w:val="en-US" w:eastAsia="zh-CN"/>
        </w:rPr>
        <w:t>界面</w:t>
      </w:r>
    </w:p>
    <w:p>
      <w:pPr>
        <w:rPr>
          <w:rStyle w:val="17"/>
          <w:rFonts w:hint="eastAsia"/>
          <w:b/>
          <w:sz w:val="21"/>
          <w:szCs w:val="22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547110"/>
            <wp:effectExtent l="9525" t="9525" r="10160" b="9525"/>
            <wp:docPr id="11" name="图片 11" descr="外部干系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外部干系人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7110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50"/>
        </w:numPr>
        <w:spacing w:line="360" w:lineRule="auto"/>
        <w:ind w:left="845" w:leftChars="0" w:hanging="425" w:firstLineChars="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元素说明</w:t>
      </w:r>
    </w:p>
    <w:tbl>
      <w:tblPr>
        <w:tblStyle w:val="21"/>
        <w:tblW w:w="85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  <w:jc w:val="center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基本信息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highlight w:val="yellow"/>
                <w:u w:val="none"/>
                <w:lang w:val="en-US" w:eastAsia="zh-CN" w:bidi="ar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干系人类型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1-托管行联系人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姓名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加载自【外部人员管理】中已维护的外部人员记录；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性别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只读；根据姓名自动加载；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只读；根据姓名自动加载；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现任部门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只读；根据姓名自动加载；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现任岗位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只读；根据姓名自动加载；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电话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只读；根据姓名自动加载；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手机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只读；根据姓名自动加载；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邮箱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只读；根据姓名自动加载；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传真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只读；根据姓名自动加载；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邮编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只读；根据姓名自动加载；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地址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只读；根据姓名自动加载；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其他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开始日期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结束日期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备注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30"/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3"/>
        <w:spacing w:line="360" w:lineRule="auto"/>
        <w:rPr>
          <w:rFonts w:hint="eastAsia"/>
          <w:sz w:val="28"/>
          <w:szCs w:val="28"/>
          <w:lang w:val="en-US" w:eastAsia="zh-CN"/>
        </w:rPr>
      </w:pPr>
      <w:bookmarkStart w:id="211" w:name="_Toc14651"/>
      <w:bookmarkStart w:id="212" w:name="_Toc571"/>
      <w:bookmarkStart w:id="213" w:name="_Toc16798"/>
      <w:bookmarkStart w:id="214" w:name="_Toc11428"/>
      <w:bookmarkStart w:id="215" w:name="_Toc30564"/>
      <w:r>
        <w:rPr>
          <w:rFonts w:hint="eastAsia"/>
          <w:sz w:val="28"/>
          <w:szCs w:val="28"/>
          <w:lang w:val="en-US" w:eastAsia="zh-CN"/>
        </w:rPr>
        <w:t>投研人员管理</w:t>
      </w:r>
      <w:bookmarkEnd w:id="211"/>
      <w:bookmarkEnd w:id="212"/>
      <w:bookmarkEnd w:id="213"/>
      <w:bookmarkEnd w:id="214"/>
      <w:bookmarkEnd w:id="215"/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216" w:name="_Toc31281"/>
      <w:bookmarkStart w:id="217" w:name="_Toc6329"/>
      <w:bookmarkStart w:id="218" w:name="_Toc10048"/>
      <w:bookmarkStart w:id="219" w:name="_Toc21139"/>
      <w:r>
        <w:rPr>
          <w:rFonts w:hint="eastAsia"/>
          <w:lang w:val="en-US" w:eastAsia="zh-CN"/>
        </w:rPr>
        <w:t>投研人员管理主界面</w:t>
      </w:r>
      <w:bookmarkEnd w:id="216"/>
      <w:bookmarkEnd w:id="217"/>
      <w:bookmarkEnd w:id="218"/>
      <w:bookmarkEnd w:id="219"/>
    </w:p>
    <w:p>
      <w:pPr>
        <w:pStyle w:val="24"/>
        <w:numPr>
          <w:ilvl w:val="0"/>
          <w:numId w:val="51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</w:rPr>
      </w:pPr>
      <w:bookmarkStart w:id="220" w:name="_Toc16970"/>
      <w:r>
        <w:rPr>
          <w:rStyle w:val="17"/>
          <w:rFonts w:hint="eastAsia"/>
          <w:sz w:val="21"/>
          <w:szCs w:val="22"/>
        </w:rPr>
        <w:t>操作说明</w:t>
      </w:r>
      <w:bookmarkEnd w:id="220"/>
    </w:p>
    <w:p>
      <w:pPr>
        <w:pStyle w:val="30"/>
        <w:keepNext w:val="0"/>
        <w:keepLines w:val="0"/>
        <w:pageBreakBefore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打开【公共功能】--&gt;点击【投研人员管理】；</w:t>
      </w:r>
    </w:p>
    <w:p>
      <w:pPr>
        <w:pStyle w:val="30"/>
        <w:keepNext w:val="0"/>
        <w:keepLines w:val="0"/>
        <w:pageBreakBefore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系统界面加载【投研人员管理】的主界面；</w:t>
      </w:r>
    </w:p>
    <w:p>
      <w:pPr>
        <w:pStyle w:val="30"/>
        <w:keepNext w:val="0"/>
        <w:keepLines w:val="0"/>
        <w:pageBreakBefore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点击相应操作按钮，可以对信息进行新增、修改、复制、删除、审核、反审核、查询的操作；</w:t>
      </w:r>
    </w:p>
    <w:p>
      <w:pPr>
        <w:pStyle w:val="30"/>
        <w:keepNext w:val="0"/>
        <w:keepLines w:val="0"/>
        <w:pageBreakBefore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点击“查看详情”，查看投研人员的详细信息；</w:t>
      </w:r>
    </w:p>
    <w:p>
      <w:pPr>
        <w:pStyle w:val="24"/>
        <w:numPr>
          <w:ilvl w:val="0"/>
          <w:numId w:val="51"/>
        </w:numPr>
        <w:spacing w:line="360" w:lineRule="auto"/>
        <w:ind w:left="845" w:leftChars="0" w:hanging="425" w:firstLineChars="0"/>
        <w:rPr>
          <w:rFonts w:hint="eastAsia"/>
          <w:b w:val="0"/>
          <w:bCs/>
          <w:lang w:val="en-US" w:eastAsia="zh-CN"/>
        </w:rPr>
      </w:pPr>
      <w:bookmarkStart w:id="221" w:name="_Toc28816"/>
      <w:r>
        <w:rPr>
          <w:rStyle w:val="17"/>
          <w:rFonts w:hint="eastAsia"/>
          <w:sz w:val="21"/>
          <w:szCs w:val="22"/>
          <w:lang w:eastAsia="zh-CN"/>
        </w:rPr>
        <w:t>界面</w:t>
      </w:r>
      <w:bookmarkEnd w:id="221"/>
    </w:p>
    <w:p>
      <w:pPr>
        <w:pStyle w:val="3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drawing>
          <wp:inline distT="0" distB="0" distL="114300" distR="114300">
            <wp:extent cx="5274310" cy="1038860"/>
            <wp:effectExtent l="0" t="0" r="13970" b="12700"/>
            <wp:docPr id="18" name="图片 18" descr="2017-11-30_164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7-11-30_1640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6257925"/>
            <wp:effectExtent l="9525" t="9525" r="24130" b="1143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57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51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eastAsia="zh-CN"/>
        </w:rPr>
      </w:pPr>
      <w:bookmarkStart w:id="222" w:name="_Toc32240"/>
      <w:r>
        <w:rPr>
          <w:rStyle w:val="17"/>
          <w:rFonts w:hint="eastAsia"/>
          <w:sz w:val="21"/>
          <w:szCs w:val="22"/>
          <w:lang w:eastAsia="zh-CN"/>
        </w:rPr>
        <w:t>按钮说明</w:t>
      </w:r>
      <w:bookmarkEnd w:id="222"/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58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859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859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1.支持模糊查询；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2.输入“查询条件”后，点击“查询”，进行查询操作；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查看详情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1.进入“投研人员”的信息查看界面；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2.和‘查看’功能不同在于，将查看功能的信息进行了格式调整；</w:t>
            </w:r>
          </w:p>
        </w:tc>
      </w:tr>
    </w:tbl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223" w:name="_Toc6208"/>
      <w:bookmarkStart w:id="224" w:name="_Toc20729"/>
      <w:bookmarkStart w:id="225" w:name="_Toc4307"/>
      <w:bookmarkStart w:id="226" w:name="_Toc7141"/>
      <w:r>
        <w:rPr>
          <w:rFonts w:hint="eastAsia"/>
          <w:lang w:val="en-US" w:eastAsia="zh-CN"/>
        </w:rPr>
        <w:t>投研人员信息维护</w:t>
      </w:r>
      <w:bookmarkEnd w:id="223"/>
      <w:bookmarkEnd w:id="224"/>
      <w:bookmarkEnd w:id="225"/>
      <w:bookmarkEnd w:id="226"/>
    </w:p>
    <w:p>
      <w:pPr>
        <w:pStyle w:val="24"/>
        <w:numPr>
          <w:ilvl w:val="0"/>
          <w:numId w:val="53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eastAsia="zh-CN"/>
        </w:rPr>
      </w:pPr>
      <w:bookmarkStart w:id="227" w:name="_Toc952"/>
      <w:r>
        <w:rPr>
          <w:rStyle w:val="17"/>
          <w:rFonts w:hint="eastAsia"/>
          <w:sz w:val="21"/>
          <w:szCs w:val="22"/>
          <w:lang w:eastAsia="zh-CN"/>
        </w:rPr>
        <w:t>操作说明</w:t>
      </w:r>
      <w:bookmarkEnd w:id="227"/>
    </w:p>
    <w:p>
      <w:pPr>
        <w:pStyle w:val="3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</w:rPr>
        <w:t>点击</w:t>
      </w:r>
      <w:r>
        <w:drawing>
          <wp:inline distT="0" distB="0" distL="114300" distR="114300">
            <wp:extent cx="510540" cy="220980"/>
            <wp:effectExtent l="0" t="0" r="7620" b="762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</w:t>
      </w:r>
      <w:r>
        <w:rPr>
          <w:rFonts w:hint="eastAsia"/>
          <w:lang w:val="en-US" w:eastAsia="zh-CN"/>
        </w:rPr>
        <w:t>投研人员</w:t>
      </w:r>
      <w:r>
        <w:rPr>
          <w:rFonts w:hint="eastAsia" w:ascii="宋体" w:hAnsi="宋体"/>
          <w:sz w:val="21"/>
          <w:lang w:eastAsia="zh-CN"/>
        </w:rPr>
        <w:t>信息</w:t>
      </w:r>
      <w:r>
        <w:rPr>
          <w:rFonts w:hint="eastAsia"/>
          <w:lang w:eastAsia="zh-CN"/>
        </w:rPr>
        <w:t>维护</w:t>
      </w:r>
      <w:r>
        <w:rPr>
          <w:rFonts w:hint="eastAsia"/>
          <w:lang w:val="en-US" w:eastAsia="zh-CN"/>
        </w:rPr>
        <w:t>界面，可在维护界面维护投研人员</w:t>
      </w:r>
      <w:r>
        <w:rPr>
          <w:rFonts w:hint="eastAsia" w:ascii="宋体" w:hAnsi="宋体"/>
          <w:sz w:val="21"/>
          <w:lang w:eastAsia="zh-CN"/>
        </w:rPr>
        <w:t>信息。</w:t>
      </w:r>
    </w:p>
    <w:p>
      <w:pPr>
        <w:pStyle w:val="24"/>
        <w:numPr>
          <w:ilvl w:val="0"/>
          <w:numId w:val="53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eastAsia="zh-CN"/>
        </w:rPr>
      </w:pPr>
      <w:bookmarkStart w:id="228" w:name="_Toc2901"/>
      <w:r>
        <w:rPr>
          <w:rStyle w:val="17"/>
          <w:rFonts w:hint="eastAsia"/>
          <w:sz w:val="21"/>
          <w:szCs w:val="22"/>
          <w:lang w:eastAsia="zh-CN"/>
        </w:rPr>
        <w:t>界面</w:t>
      </w:r>
      <w:bookmarkEnd w:id="228"/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eastAsia" w:ascii="宋体" w:hAnsi="宋体"/>
          <w:b/>
          <w:bCs/>
          <w:sz w:val="21"/>
          <w:lang w:eastAsia="zh-CN"/>
        </w:rPr>
      </w:pPr>
      <w:r>
        <w:rPr>
          <w:rFonts w:hint="eastAsia" w:ascii="宋体" w:hAnsi="宋体"/>
          <w:b/>
          <w:bCs/>
          <w:sz w:val="21"/>
          <w:lang w:eastAsia="zh-CN"/>
        </w:rPr>
        <w:drawing>
          <wp:inline distT="0" distB="0" distL="114300" distR="114300">
            <wp:extent cx="5083175" cy="8851265"/>
            <wp:effectExtent l="9525" t="9525" r="12700" b="24130"/>
            <wp:docPr id="12" name="图片 12" descr="投研人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投研人员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88512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53"/>
        </w:numPr>
        <w:spacing w:line="360" w:lineRule="auto"/>
        <w:ind w:left="845" w:leftChars="0" w:hanging="425" w:firstLineChars="0"/>
        <w:rPr>
          <w:rFonts w:hint="eastAsia" w:ascii="宋体" w:hAnsi="宋体"/>
          <w:b/>
          <w:bCs/>
          <w:sz w:val="21"/>
          <w:lang w:eastAsia="zh-CN"/>
        </w:rPr>
      </w:pPr>
      <w:bookmarkStart w:id="229" w:name="_Toc27309"/>
      <w:r>
        <w:rPr>
          <w:rStyle w:val="17"/>
          <w:rFonts w:hint="eastAsia"/>
          <w:sz w:val="21"/>
          <w:szCs w:val="22"/>
          <w:lang w:eastAsia="zh-CN"/>
        </w:rPr>
        <w:t>元素说明</w:t>
      </w:r>
      <w:bookmarkEnd w:id="229"/>
    </w:p>
    <w:tbl>
      <w:tblPr>
        <w:tblStyle w:val="21"/>
        <w:tblW w:w="85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773"/>
        <w:gridCol w:w="1282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  <w:jc w:val="center"/>
        </w:trPr>
        <w:tc>
          <w:tcPr>
            <w:tcW w:w="2188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28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基本信息</w:t>
            </w:r>
          </w:p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</w:p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现任部门</w:t>
            </w:r>
          </w:p>
        </w:tc>
        <w:tc>
          <w:tcPr>
            <w:tcW w:w="128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选择人员所在部门；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姓名</w:t>
            </w:r>
          </w:p>
        </w:tc>
        <w:tc>
          <w:tcPr>
            <w:tcW w:w="128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选择部门下人员；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性别</w:t>
            </w:r>
          </w:p>
        </w:tc>
        <w:tc>
          <w:tcPr>
            <w:tcW w:w="128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国籍</w:t>
            </w:r>
          </w:p>
        </w:tc>
        <w:tc>
          <w:tcPr>
            <w:tcW w:w="128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默认：中国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现任岗位</w:t>
            </w:r>
          </w:p>
        </w:tc>
        <w:tc>
          <w:tcPr>
            <w:tcW w:w="128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选项：1-基金经理 2-基金经理助理 3-投资经理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4-投资经理助理 5-研究员 6-其他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职位</w:t>
            </w:r>
          </w:p>
        </w:tc>
        <w:tc>
          <w:tcPr>
            <w:tcW w:w="128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“现任职位”=‘其他’时，展示本字段供用户填写；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出生日期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入职日期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离职日期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注册日期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最高学历毕业院校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最高学历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选项：1-博士后 2-博士 3-硕士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4-本科 5-专科 6-中专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最高学位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专业名称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证券从业年限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工作年限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点击按钮，根据各段工作经历，自动将年限进行汇总计算。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履历</w:t>
            </w:r>
            <w:r>
              <w:rPr>
                <w:rFonts w:hint="eastAsia" w:ascii="宋体" w:hAnsi="宋体" w:cs="宋体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（暂不支持）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点击按钮，根据基本信息和经历自动生成标准化履历。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获奖经历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惩罚情况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8"/>
                <w:szCs w:val="18"/>
                <w:lang w:val="en-US" w:eastAsia="zh-CN" w:bidi="ar-SA"/>
              </w:rPr>
              <w:t>任职经历</w:t>
            </w: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任职公司名称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任职部门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担任职位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任职开始日期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任职结束日期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属于证券从业经历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1-是 2-否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属于证券投资管理经历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1-是 2-否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证券从业经历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若“属于证券从业经历”=‘是’，根据“任职结束日期”和“任职开始日期”自动计算年限；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证券投资管理经历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若“属于证券投资管理经历”=‘是’，根据“任职结束日期”和“任职开始日期”自动计算年限；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8"/>
                <w:szCs w:val="18"/>
                <w:lang w:val="en-US" w:eastAsia="zh-CN" w:bidi="ar-SA"/>
              </w:rPr>
              <w:t>公募基金管理经历</w:t>
            </w: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任职公司名称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highlight w:val="yellow"/>
                <w:lang w:val="en-US" w:eastAsia="zh-CN" w:bidi="ar-SA"/>
              </w:rPr>
              <w:t>产品全称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资产代码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任职日期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离任日期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8"/>
                <w:szCs w:val="18"/>
                <w:lang w:val="en-US" w:eastAsia="zh-CN" w:bidi="ar-SA"/>
              </w:rPr>
              <w:t>学习经历</w:t>
            </w: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学校名称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入学时间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毕业时间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学习形式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1-全日制 2-在职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专业名称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所获学历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1-博士后 2-博士 3-硕士 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4-本科 5-专科 6-中专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73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="宋体" w:hAnsi="宋体" w:cs="宋体" w:eastAsiaTheme="minorEastAsia"/>
                <w:b w:val="0"/>
                <w:bCs w:val="0"/>
                <w:kern w:val="0"/>
                <w:sz w:val="15"/>
                <w:szCs w:val="15"/>
                <w:lang w:val="en-US" w:eastAsia="zh-CN" w:bidi="ar-SA"/>
              </w:rPr>
              <w:t>所获学位</w:t>
            </w:r>
          </w:p>
        </w:tc>
        <w:tc>
          <w:tcPr>
            <w:tcW w:w="128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30"/>
        <w:spacing w:line="360" w:lineRule="auto"/>
        <w:rPr>
          <w:rFonts w:hint="eastAsia" w:ascii="宋体" w:hAnsi="宋体"/>
          <w:b/>
          <w:bCs/>
          <w:sz w:val="21"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230" w:name="_Toc4043"/>
      <w:bookmarkStart w:id="231" w:name="_Toc28391"/>
      <w:bookmarkStart w:id="232" w:name="_Toc31558"/>
      <w:bookmarkStart w:id="233" w:name="_Toc24852"/>
      <w:r>
        <w:rPr>
          <w:rFonts w:hint="eastAsia"/>
          <w:lang w:val="en-US" w:eastAsia="zh-CN"/>
        </w:rPr>
        <w:t>投研人员查看详情</w:t>
      </w:r>
      <w:bookmarkEnd w:id="230"/>
      <w:bookmarkEnd w:id="231"/>
      <w:bookmarkEnd w:id="232"/>
      <w:bookmarkEnd w:id="233"/>
    </w:p>
    <w:p>
      <w:pPr>
        <w:pStyle w:val="24"/>
        <w:numPr>
          <w:ilvl w:val="0"/>
          <w:numId w:val="54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eastAsia="zh-CN"/>
        </w:rPr>
      </w:pPr>
      <w:bookmarkStart w:id="234" w:name="_Toc9708"/>
      <w:r>
        <w:rPr>
          <w:rStyle w:val="17"/>
          <w:rFonts w:hint="eastAsia"/>
          <w:sz w:val="21"/>
          <w:szCs w:val="22"/>
          <w:lang w:eastAsia="zh-CN"/>
        </w:rPr>
        <w:t>操作说明</w:t>
      </w:r>
      <w:bookmarkEnd w:id="234"/>
    </w:p>
    <w:p>
      <w:pPr>
        <w:pStyle w:val="3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操作栏的“查看详情”</w:t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</w:t>
      </w:r>
      <w:r>
        <w:rPr>
          <w:rFonts w:hint="eastAsia"/>
          <w:lang w:val="en-US" w:eastAsia="zh-CN"/>
        </w:rPr>
        <w:t>投研人员</w:t>
      </w:r>
      <w:r>
        <w:rPr>
          <w:rFonts w:hint="eastAsia" w:ascii="宋体" w:hAnsi="宋体"/>
          <w:sz w:val="21"/>
          <w:lang w:eastAsia="zh-CN"/>
        </w:rPr>
        <w:t>查看详情</w:t>
      </w:r>
      <w:r>
        <w:rPr>
          <w:rFonts w:hint="eastAsia"/>
          <w:lang w:val="en-US" w:eastAsia="zh-CN"/>
        </w:rPr>
        <w:t>界面</w:t>
      </w:r>
    </w:p>
    <w:p>
      <w:pPr>
        <w:pStyle w:val="24"/>
        <w:numPr>
          <w:ilvl w:val="0"/>
          <w:numId w:val="54"/>
        </w:numPr>
        <w:spacing w:line="360" w:lineRule="auto"/>
        <w:ind w:left="845" w:leftChars="0" w:hanging="425" w:firstLineChars="0"/>
        <w:rPr>
          <w:rStyle w:val="17"/>
          <w:rFonts w:hint="eastAsia"/>
          <w:color w:val="000000" w:themeColor="text1"/>
          <w:sz w:val="21"/>
          <w:szCs w:val="22"/>
          <w:lang w:eastAsia="zh-CN"/>
          <w14:textFill>
            <w14:solidFill>
              <w14:schemeClr w14:val="tx1"/>
            </w14:solidFill>
          </w14:textFill>
        </w:rPr>
      </w:pPr>
      <w:bookmarkStart w:id="235" w:name="_Toc9801"/>
      <w:r>
        <w:rPr>
          <w:rStyle w:val="17"/>
          <w:rFonts w:hint="eastAsia"/>
          <w:color w:val="000000" w:themeColor="text1"/>
          <w:sz w:val="21"/>
          <w:szCs w:val="22"/>
          <w:lang w:eastAsia="zh-CN"/>
          <w14:textFill>
            <w14:solidFill>
              <w14:schemeClr w14:val="tx1"/>
            </w14:solidFill>
          </w14:textFill>
        </w:rPr>
        <w:t>界面</w:t>
      </w:r>
      <w:bookmarkEnd w:id="235"/>
    </w:p>
    <w:p>
      <w:r>
        <w:drawing>
          <wp:inline distT="0" distB="0" distL="114300" distR="114300">
            <wp:extent cx="5272405" cy="2933700"/>
            <wp:effectExtent l="0" t="0" r="635" b="762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rPr>
          <w:rFonts w:hint="eastAsia"/>
          <w:sz w:val="28"/>
          <w:szCs w:val="28"/>
          <w:lang w:val="en-US" w:eastAsia="zh-CN"/>
        </w:rPr>
      </w:pPr>
      <w:bookmarkStart w:id="236" w:name="_Toc26256"/>
      <w:bookmarkStart w:id="237" w:name="_Toc9061"/>
      <w:bookmarkStart w:id="238" w:name="_Toc3867"/>
      <w:bookmarkStart w:id="239" w:name="_Toc22070"/>
      <w:bookmarkStart w:id="240" w:name="_Toc14922"/>
      <w:r>
        <w:rPr>
          <w:rFonts w:hint="eastAsia"/>
          <w:sz w:val="28"/>
          <w:szCs w:val="28"/>
          <w:lang w:val="en-US" w:eastAsia="zh-CN"/>
        </w:rPr>
        <w:t>外部人员管理</w:t>
      </w:r>
      <w:bookmarkEnd w:id="236"/>
      <w:bookmarkEnd w:id="237"/>
      <w:bookmarkEnd w:id="238"/>
      <w:bookmarkEnd w:id="239"/>
      <w:bookmarkEnd w:id="240"/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241" w:name="_Toc22257"/>
      <w:bookmarkStart w:id="242" w:name="_Toc31761"/>
      <w:bookmarkStart w:id="243" w:name="_Toc26066"/>
      <w:bookmarkStart w:id="244" w:name="_Toc7720"/>
      <w:r>
        <w:rPr>
          <w:rFonts w:hint="eastAsia"/>
          <w:lang w:val="en-US" w:eastAsia="zh-CN"/>
        </w:rPr>
        <w:t>外部人员管理主界面</w:t>
      </w:r>
      <w:bookmarkEnd w:id="241"/>
      <w:bookmarkEnd w:id="242"/>
      <w:bookmarkEnd w:id="243"/>
      <w:bookmarkEnd w:id="244"/>
    </w:p>
    <w:p>
      <w:pPr>
        <w:pStyle w:val="24"/>
        <w:numPr>
          <w:ilvl w:val="0"/>
          <w:numId w:val="55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</w:rPr>
      </w:pPr>
      <w:bookmarkStart w:id="245" w:name="_Toc20878"/>
      <w:r>
        <w:rPr>
          <w:rStyle w:val="17"/>
          <w:rFonts w:hint="eastAsia"/>
          <w:sz w:val="21"/>
          <w:szCs w:val="22"/>
        </w:rPr>
        <w:t>操作说明</w:t>
      </w:r>
      <w:bookmarkEnd w:id="245"/>
    </w:p>
    <w:p>
      <w:pPr>
        <w:pStyle w:val="30"/>
        <w:keepNext w:val="0"/>
        <w:keepLines w:val="0"/>
        <w:pageBreakBefore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打开【公共功能】--&gt;点击【外部人员管理】；</w:t>
      </w:r>
    </w:p>
    <w:p>
      <w:pPr>
        <w:pStyle w:val="30"/>
        <w:keepNext w:val="0"/>
        <w:keepLines w:val="0"/>
        <w:pageBreakBefore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系统界面加载【外部人员管理】的主界面；</w:t>
      </w:r>
    </w:p>
    <w:p>
      <w:pPr>
        <w:pStyle w:val="30"/>
        <w:keepNext w:val="0"/>
        <w:keepLines w:val="0"/>
        <w:pageBreakBefore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点击相应操作按钮，可以对信息进行新增、修改、复制、删除、审核、反审核、查询的操作；</w:t>
      </w:r>
    </w:p>
    <w:p>
      <w:pPr>
        <w:pStyle w:val="24"/>
        <w:numPr>
          <w:ilvl w:val="0"/>
          <w:numId w:val="55"/>
        </w:numPr>
        <w:spacing w:line="360" w:lineRule="auto"/>
        <w:ind w:left="845" w:leftChars="0" w:hanging="425" w:firstLineChars="0"/>
        <w:rPr>
          <w:rFonts w:hint="eastAsia"/>
          <w:b w:val="0"/>
          <w:bCs/>
          <w:lang w:val="en-US" w:eastAsia="zh-CN"/>
        </w:rPr>
      </w:pPr>
      <w:bookmarkStart w:id="246" w:name="_Toc7805"/>
      <w:r>
        <w:rPr>
          <w:rStyle w:val="17"/>
          <w:rFonts w:hint="eastAsia"/>
          <w:sz w:val="21"/>
          <w:szCs w:val="22"/>
          <w:lang w:eastAsia="zh-CN"/>
        </w:rPr>
        <w:t>界面</w:t>
      </w:r>
      <w:bookmarkEnd w:id="246"/>
    </w:p>
    <w:p>
      <w:pPr>
        <w:pStyle w:val="30"/>
        <w:spacing w:line="360" w:lineRule="auto"/>
        <w:rPr>
          <w:rFonts w:hint="eastAsia" w:ascii="宋体" w:hAnsi="宋体"/>
          <w:sz w:val="21"/>
          <w:lang w:eastAsia="zh-CN"/>
        </w:rPr>
      </w:pPr>
      <w:r>
        <w:drawing>
          <wp:inline distT="0" distB="0" distL="114300" distR="114300">
            <wp:extent cx="5271135" cy="1449705"/>
            <wp:effectExtent l="0" t="0" r="1905" b="13335"/>
            <wp:docPr id="6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55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eastAsia="zh-CN"/>
        </w:rPr>
      </w:pPr>
      <w:bookmarkStart w:id="247" w:name="_Toc19381"/>
      <w:r>
        <w:rPr>
          <w:rStyle w:val="17"/>
          <w:rFonts w:hint="eastAsia"/>
          <w:sz w:val="21"/>
          <w:szCs w:val="22"/>
          <w:lang w:eastAsia="zh-CN"/>
        </w:rPr>
        <w:t>按钮说明</w:t>
      </w:r>
      <w:bookmarkEnd w:id="247"/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58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859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859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1.支持模糊查询；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2.输入“查询条件”后，点击“查询”，进行查询操作；</w:t>
            </w:r>
          </w:p>
        </w:tc>
      </w:tr>
    </w:tbl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  <w:lang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248" w:name="_Toc27566"/>
      <w:bookmarkStart w:id="249" w:name="_Toc730"/>
      <w:bookmarkStart w:id="250" w:name="_Toc18386"/>
      <w:bookmarkStart w:id="251" w:name="_Toc14364"/>
      <w:r>
        <w:rPr>
          <w:rFonts w:hint="eastAsia"/>
          <w:lang w:val="en-US" w:eastAsia="zh-CN"/>
        </w:rPr>
        <w:t>外部人员信息维护</w:t>
      </w:r>
      <w:bookmarkEnd w:id="248"/>
      <w:bookmarkEnd w:id="249"/>
      <w:bookmarkEnd w:id="250"/>
      <w:bookmarkEnd w:id="251"/>
    </w:p>
    <w:p>
      <w:pPr>
        <w:pStyle w:val="24"/>
        <w:numPr>
          <w:ilvl w:val="0"/>
          <w:numId w:val="57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</w:rPr>
      </w:pPr>
      <w:bookmarkStart w:id="252" w:name="_Toc10708"/>
      <w:r>
        <w:rPr>
          <w:rStyle w:val="17"/>
          <w:rFonts w:hint="eastAsia"/>
          <w:sz w:val="21"/>
          <w:szCs w:val="22"/>
        </w:rPr>
        <w:t>操作说明</w:t>
      </w:r>
      <w:bookmarkEnd w:id="252"/>
    </w:p>
    <w:p>
      <w:pPr>
        <w:pStyle w:val="3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</w:rPr>
        <w:t>点击</w:t>
      </w:r>
      <w:r>
        <w:drawing>
          <wp:inline distT="0" distB="0" distL="114300" distR="114300">
            <wp:extent cx="510540" cy="220980"/>
            <wp:effectExtent l="0" t="0" r="7620" b="7620"/>
            <wp:docPr id="8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</w:t>
      </w:r>
      <w:r>
        <w:rPr>
          <w:rFonts w:hint="eastAsia" w:ascii="宋体" w:hAnsi="宋体"/>
          <w:sz w:val="21"/>
          <w:lang w:eastAsia="zh-CN"/>
        </w:rPr>
        <w:t>外部人员信息</w:t>
      </w:r>
      <w:r>
        <w:rPr>
          <w:rFonts w:hint="eastAsia"/>
          <w:lang w:eastAsia="zh-CN"/>
        </w:rPr>
        <w:t>维护</w:t>
      </w:r>
      <w:r>
        <w:rPr>
          <w:rFonts w:hint="eastAsia"/>
          <w:lang w:val="en-US" w:eastAsia="zh-CN"/>
        </w:rPr>
        <w:t>界面，可在维护界面维护</w:t>
      </w:r>
      <w:r>
        <w:rPr>
          <w:rFonts w:hint="eastAsia" w:ascii="宋体" w:hAnsi="宋体"/>
          <w:sz w:val="21"/>
          <w:lang w:eastAsia="zh-CN"/>
        </w:rPr>
        <w:t>外部人员信息</w:t>
      </w:r>
    </w:p>
    <w:p>
      <w:pPr>
        <w:pStyle w:val="24"/>
        <w:numPr>
          <w:ilvl w:val="0"/>
          <w:numId w:val="57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eastAsia="zh-CN"/>
        </w:rPr>
      </w:pPr>
      <w:bookmarkStart w:id="253" w:name="_Toc5734"/>
      <w:r>
        <w:rPr>
          <w:rStyle w:val="17"/>
          <w:rFonts w:hint="eastAsia"/>
          <w:sz w:val="21"/>
          <w:szCs w:val="22"/>
          <w:lang w:eastAsia="zh-CN"/>
        </w:rPr>
        <w:t>界面</w:t>
      </w:r>
      <w:bookmarkEnd w:id="253"/>
    </w:p>
    <w:p>
      <w:pPr>
        <w:pStyle w:val="3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</w:p>
    <w:p>
      <w:pPr>
        <w:pStyle w:val="30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drawing>
          <wp:inline distT="0" distB="0" distL="114300" distR="114300">
            <wp:extent cx="5266055" cy="2940685"/>
            <wp:effectExtent l="9525" t="9525" r="12700" b="21590"/>
            <wp:docPr id="14" name="图片 14" descr="外部人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外部人员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06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57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eastAsia="zh-CN"/>
        </w:rPr>
      </w:pPr>
      <w:bookmarkStart w:id="254" w:name="_Toc6161"/>
      <w:r>
        <w:rPr>
          <w:rStyle w:val="17"/>
          <w:rFonts w:hint="eastAsia"/>
          <w:sz w:val="21"/>
          <w:szCs w:val="22"/>
          <w:lang w:eastAsia="zh-CN"/>
        </w:rPr>
        <w:t>元素说明</w:t>
      </w:r>
      <w:bookmarkEnd w:id="254"/>
    </w:p>
    <w:tbl>
      <w:tblPr>
        <w:tblStyle w:val="21"/>
        <w:tblW w:w="855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5"/>
        <w:gridCol w:w="1486"/>
        <w:gridCol w:w="1569"/>
        <w:gridCol w:w="1672"/>
        <w:gridCol w:w="3381"/>
        <w:gridCol w:w="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4" w:type="dxa"/>
          <w:jc w:val="center"/>
        </w:trPr>
        <w:tc>
          <w:tcPr>
            <w:tcW w:w="1901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38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基本信息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姓名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性别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所属机构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加载所有的机构信息；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干系人类别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下拉框，单选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现任部门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现任岗位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restart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</w:p>
          <w:p>
            <w:pPr>
              <w:spacing w:line="360" w:lineRule="auto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联系信息</w:t>
            </w: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电话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格式校验；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手机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格式校验；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邮箱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格式校验；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传真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格式校验；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邮编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格式校验；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5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both"/>
              <w:outlineLvl w:val="9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486" w:type="dxa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0" w:firstLineChars="0"/>
              <w:jc w:val="left"/>
              <w:outlineLvl w:val="9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地址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gridSpan w:val="2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  <w:lang w:eastAsia="zh-CN"/>
        </w:rPr>
      </w:pPr>
    </w:p>
    <w:p>
      <w:pPr>
        <w:spacing w:line="360" w:lineRule="auto"/>
        <w:rPr>
          <w:rStyle w:val="17"/>
          <w:rFonts w:hint="eastAsia"/>
          <w:b w:val="0"/>
          <w:bCs w:val="0"/>
          <w:lang w:eastAsia="zh-CN"/>
        </w:rPr>
      </w:pPr>
    </w:p>
    <w:p>
      <w:pPr>
        <w:pStyle w:val="3"/>
        <w:spacing w:line="360" w:lineRule="auto"/>
        <w:rPr>
          <w:rFonts w:hint="eastAsia"/>
          <w:sz w:val="28"/>
          <w:szCs w:val="28"/>
          <w:lang w:val="en-US" w:eastAsia="zh-CN"/>
        </w:rPr>
      </w:pPr>
      <w:bookmarkStart w:id="255" w:name="_Toc18768"/>
      <w:bookmarkStart w:id="256" w:name="_Toc29586"/>
      <w:bookmarkStart w:id="257" w:name="_Toc17989"/>
      <w:bookmarkStart w:id="258" w:name="_Toc18328"/>
      <w:bookmarkStart w:id="259" w:name="_Toc2826"/>
      <w:r>
        <w:rPr>
          <w:rFonts w:hint="eastAsia"/>
          <w:sz w:val="28"/>
          <w:szCs w:val="28"/>
          <w:lang w:val="en-US" w:eastAsia="zh-CN"/>
        </w:rPr>
        <w:t>重大事项揭示</w:t>
      </w:r>
      <w:bookmarkEnd w:id="255"/>
      <w:bookmarkEnd w:id="256"/>
      <w:bookmarkEnd w:id="257"/>
      <w:bookmarkEnd w:id="258"/>
      <w:bookmarkEnd w:id="259"/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260" w:name="_Toc27937"/>
      <w:bookmarkStart w:id="261" w:name="_Toc23052"/>
      <w:bookmarkStart w:id="262" w:name="_Toc15197"/>
      <w:bookmarkStart w:id="263" w:name="_Toc29358"/>
      <w:r>
        <w:rPr>
          <w:rFonts w:hint="eastAsia"/>
          <w:lang w:val="en-US" w:eastAsia="zh-CN"/>
        </w:rPr>
        <w:t>重大事项揭示主界面</w:t>
      </w:r>
      <w:bookmarkEnd w:id="260"/>
      <w:bookmarkEnd w:id="261"/>
      <w:bookmarkEnd w:id="262"/>
      <w:bookmarkEnd w:id="263"/>
    </w:p>
    <w:p>
      <w:pPr>
        <w:pStyle w:val="24"/>
        <w:numPr>
          <w:ilvl w:val="0"/>
          <w:numId w:val="58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</w:rPr>
      </w:pPr>
      <w:bookmarkStart w:id="264" w:name="_Toc14641"/>
      <w:r>
        <w:rPr>
          <w:rStyle w:val="17"/>
          <w:rFonts w:hint="eastAsia"/>
          <w:sz w:val="21"/>
          <w:szCs w:val="22"/>
        </w:rPr>
        <w:t>操作说明</w:t>
      </w:r>
      <w:bookmarkEnd w:id="264"/>
    </w:p>
    <w:p>
      <w:pPr>
        <w:pStyle w:val="30"/>
        <w:keepNext w:val="0"/>
        <w:keepLines w:val="0"/>
        <w:pageBreakBefore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打开【公共功能】--&gt;点击【重大事项揭示】；</w:t>
      </w:r>
    </w:p>
    <w:p>
      <w:pPr>
        <w:pStyle w:val="30"/>
        <w:keepNext w:val="0"/>
        <w:keepLines w:val="0"/>
        <w:pageBreakBefore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系统界面加载【重大事项揭示】的主界面；</w:t>
      </w:r>
    </w:p>
    <w:p>
      <w:pPr>
        <w:pStyle w:val="30"/>
        <w:keepNext w:val="0"/>
        <w:keepLines w:val="0"/>
        <w:pageBreakBefore w:val="0"/>
        <w:numPr>
          <w:ilvl w:val="0"/>
          <w:numId w:val="5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right="0" w:rightChars="0" w:hanging="425" w:firstLine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点击相应操作按钮，可以对信息进行新增、修改、复制、删除、审核、反审核、查询的操作；</w:t>
      </w:r>
    </w:p>
    <w:p>
      <w:pPr>
        <w:pStyle w:val="24"/>
        <w:numPr>
          <w:ilvl w:val="0"/>
          <w:numId w:val="58"/>
        </w:numPr>
        <w:spacing w:line="360" w:lineRule="auto"/>
        <w:ind w:left="845" w:leftChars="0" w:hanging="425" w:firstLineChars="0"/>
        <w:rPr>
          <w:rFonts w:hint="eastAsia"/>
          <w:b w:val="0"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265" w:name="_Toc21440"/>
      <w:r>
        <w:rPr>
          <w:rStyle w:val="17"/>
          <w:rFonts w:hint="eastAsia"/>
          <w:color w:val="000000" w:themeColor="text1"/>
          <w:sz w:val="21"/>
          <w:szCs w:val="22"/>
          <w:lang w:eastAsia="zh-CN"/>
          <w14:textFill>
            <w14:solidFill>
              <w14:schemeClr w14:val="tx1"/>
            </w14:solidFill>
          </w14:textFill>
        </w:rPr>
        <w:t>界面</w:t>
      </w:r>
      <w:bookmarkEnd w:id="265"/>
    </w:p>
    <w:p>
      <w:pPr>
        <w:pStyle w:val="3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5267325" cy="2452370"/>
            <wp:effectExtent l="0" t="0" r="5715" b="1270"/>
            <wp:docPr id="11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right="0" w:rightChars="0"/>
        <w:jc w:val="both"/>
        <w:textAlignment w:val="auto"/>
        <w:outlineLvl w:val="9"/>
        <w:rPr>
          <w:rFonts w:hint="eastAsia"/>
          <w:b w:val="0"/>
          <w:bCs/>
          <w:lang w:val="en-US" w:eastAsia="zh-CN"/>
        </w:rPr>
      </w:pPr>
    </w:p>
    <w:p>
      <w:pPr>
        <w:pStyle w:val="24"/>
        <w:numPr>
          <w:ilvl w:val="0"/>
          <w:numId w:val="58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eastAsia="zh-CN"/>
        </w:rPr>
      </w:pPr>
      <w:bookmarkStart w:id="266" w:name="_Toc10652"/>
      <w:r>
        <w:rPr>
          <w:rStyle w:val="17"/>
          <w:rFonts w:hint="eastAsia"/>
          <w:sz w:val="21"/>
          <w:szCs w:val="22"/>
          <w:lang w:eastAsia="zh-CN"/>
        </w:rPr>
        <w:t>按钮说明</w:t>
      </w:r>
      <w:bookmarkEnd w:id="266"/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58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859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859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1.支持模糊查询；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2.输入“查询条件”后，点击“查询”，进行查询操作；</w:t>
            </w:r>
          </w:p>
        </w:tc>
      </w:tr>
    </w:tbl>
    <w:p>
      <w:pPr>
        <w:spacing w:line="360" w:lineRule="auto"/>
        <w:rPr>
          <w:rFonts w:hint="eastAsia"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bookmarkStart w:id="267" w:name="_Toc31734"/>
      <w:bookmarkStart w:id="268" w:name="_Toc8459"/>
      <w:bookmarkStart w:id="269" w:name="_Toc21084"/>
      <w:bookmarkStart w:id="270" w:name="_Toc29551"/>
      <w:r>
        <w:rPr>
          <w:rFonts w:hint="eastAsia"/>
          <w:lang w:val="en-US" w:eastAsia="zh-CN"/>
        </w:rPr>
        <w:t>重大事项揭示信息维护</w:t>
      </w:r>
      <w:bookmarkEnd w:id="267"/>
      <w:bookmarkEnd w:id="268"/>
      <w:bookmarkEnd w:id="269"/>
      <w:bookmarkEnd w:id="270"/>
    </w:p>
    <w:p>
      <w:pPr>
        <w:pStyle w:val="24"/>
        <w:numPr>
          <w:ilvl w:val="0"/>
          <w:numId w:val="60"/>
        </w:numPr>
        <w:spacing w:line="360" w:lineRule="auto"/>
        <w:ind w:left="845" w:leftChars="0" w:hanging="425" w:firstLineChars="0"/>
        <w:rPr>
          <w:rStyle w:val="17"/>
          <w:rFonts w:hint="eastAsia"/>
          <w:sz w:val="21"/>
          <w:szCs w:val="22"/>
          <w:lang w:eastAsia="zh-CN"/>
        </w:rPr>
      </w:pPr>
      <w:bookmarkStart w:id="271" w:name="_Toc18518"/>
      <w:r>
        <w:rPr>
          <w:rStyle w:val="17"/>
          <w:rFonts w:hint="eastAsia"/>
          <w:sz w:val="21"/>
          <w:szCs w:val="22"/>
          <w:lang w:eastAsia="zh-CN"/>
        </w:rPr>
        <w:t>操作说明</w:t>
      </w:r>
      <w:bookmarkEnd w:id="271"/>
    </w:p>
    <w:p>
      <w:pPr>
        <w:pStyle w:val="3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</w:rPr>
        <w:t>点击</w:t>
      </w:r>
      <w:r>
        <w:drawing>
          <wp:inline distT="0" distB="0" distL="114300" distR="114300">
            <wp:extent cx="510540" cy="220980"/>
            <wp:effectExtent l="0" t="0" r="7620" b="7620"/>
            <wp:docPr id="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</w:t>
      </w:r>
      <w:r>
        <w:rPr>
          <w:rFonts w:hint="eastAsia"/>
          <w:lang w:val="en-US" w:eastAsia="zh-CN"/>
        </w:rPr>
        <w:t>投研人员</w:t>
      </w:r>
      <w:r>
        <w:rPr>
          <w:rFonts w:hint="eastAsia" w:ascii="宋体" w:hAnsi="宋体"/>
          <w:sz w:val="21"/>
          <w:lang w:eastAsia="zh-CN"/>
        </w:rPr>
        <w:t>信息</w:t>
      </w:r>
      <w:r>
        <w:rPr>
          <w:rFonts w:hint="eastAsia"/>
          <w:lang w:eastAsia="zh-CN"/>
        </w:rPr>
        <w:t>维护</w:t>
      </w:r>
      <w:r>
        <w:rPr>
          <w:rFonts w:hint="eastAsia"/>
          <w:lang w:val="en-US" w:eastAsia="zh-CN"/>
        </w:rPr>
        <w:t>界面，可在维护界面维护投研人员</w:t>
      </w:r>
      <w:r>
        <w:rPr>
          <w:rFonts w:hint="eastAsia" w:ascii="宋体" w:hAnsi="宋体"/>
          <w:sz w:val="21"/>
          <w:lang w:eastAsia="zh-CN"/>
        </w:rPr>
        <w:t>信息。</w:t>
      </w:r>
    </w:p>
    <w:p>
      <w:pPr>
        <w:pStyle w:val="24"/>
        <w:numPr>
          <w:ilvl w:val="0"/>
          <w:numId w:val="60"/>
        </w:numPr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bookmarkStart w:id="272" w:name="_Toc2088"/>
      <w:r>
        <w:rPr>
          <w:rStyle w:val="17"/>
          <w:rFonts w:hint="eastAsia"/>
          <w:sz w:val="21"/>
          <w:szCs w:val="22"/>
          <w:lang w:eastAsia="zh-CN"/>
        </w:rPr>
        <w:t>界面</w:t>
      </w:r>
      <w:bookmarkEnd w:id="272"/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295900"/>
            <wp:effectExtent l="9525" t="9525" r="24130" b="13335"/>
            <wp:docPr id="1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95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60"/>
        </w:numPr>
        <w:spacing w:line="360" w:lineRule="auto"/>
        <w:ind w:left="845" w:leftChars="0" w:hanging="425" w:firstLineChars="0"/>
        <w:rPr>
          <w:rFonts w:hint="eastAsia"/>
          <w:b/>
          <w:bCs/>
          <w:lang w:val="en-US" w:eastAsia="zh-CN"/>
        </w:rPr>
      </w:pPr>
      <w:bookmarkStart w:id="273" w:name="_Toc19483"/>
      <w:r>
        <w:rPr>
          <w:rStyle w:val="17"/>
          <w:rFonts w:hint="eastAsia"/>
          <w:sz w:val="21"/>
          <w:szCs w:val="22"/>
          <w:lang w:val="en-US" w:eastAsia="zh-CN"/>
        </w:rPr>
        <w:t>元素说明</w:t>
      </w:r>
      <w:bookmarkEnd w:id="273"/>
    </w:p>
    <w:tbl>
      <w:tblPr>
        <w:tblStyle w:val="21"/>
        <w:tblW w:w="814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6"/>
        <w:gridCol w:w="1569"/>
        <w:gridCol w:w="1672"/>
        <w:gridCol w:w="34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lang w:val="e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672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415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0"/>
                <w:sz w:val="15"/>
                <w:szCs w:val="15"/>
                <w:vertAlign w:val="baseline"/>
                <w:lang w:val="en-US" w:eastAsia="zh-CN" w:bidi="ar-SA"/>
              </w:rPr>
              <w:t>适用对象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单选框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1-产品（默认）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2-安信基金管理有限责任公司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0"/>
                <w:sz w:val="15"/>
                <w:szCs w:val="15"/>
                <w:highlight w:val="yellow"/>
                <w:vertAlign w:val="baseline"/>
                <w:lang w:val="en-US" w:eastAsia="zh-CN" w:bidi="ar-SA"/>
              </w:rPr>
              <w:t>产品全称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下拉框；多选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“适用产品”=‘产品’时可选择产品；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0"/>
                <w:sz w:val="15"/>
                <w:szCs w:val="15"/>
                <w:vertAlign w:val="baseline"/>
                <w:lang w:val="en-US" w:eastAsia="zh-CN" w:bidi="ar-SA"/>
              </w:rPr>
              <w:t>披露内容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0"/>
                <w:sz w:val="15"/>
                <w:szCs w:val="15"/>
                <w:vertAlign w:val="baseline"/>
                <w:lang w:val="en-US" w:eastAsia="zh-CN" w:bidi="ar-SA"/>
              </w:rPr>
              <w:t>披露时间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0"/>
                <w:sz w:val="15"/>
                <w:szCs w:val="15"/>
                <w:vertAlign w:val="baseline"/>
                <w:lang w:val="en-US" w:eastAsia="zh-CN" w:bidi="ar-SA"/>
              </w:rPr>
              <w:t>披露报社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多选框</w:t>
            </w: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415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0"/>
                <w:sz w:val="15"/>
                <w:szCs w:val="15"/>
                <w:vertAlign w:val="baseline"/>
                <w:lang w:val="en-US" w:eastAsia="zh-CN" w:bidi="ar-SA"/>
              </w:rPr>
              <w:t>备注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672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415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主体信息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主体信息主界面</w:t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1.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</w:rPr>
        <w:t>操作说明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val="en-US" w:eastAsia="zh-CN"/>
        </w:rPr>
        <w:t>1)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eastAsia="zh-CN"/>
        </w:rPr>
        <w:t>打开【公共功能】--&gt;点击【主体信息】；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val="en-US" w:eastAsia="zh-CN"/>
        </w:rPr>
        <w:t>2）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eastAsia="zh-CN"/>
        </w:rPr>
        <w:t>系统界面加载【主体信息】的主界面；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200" w:right="0" w:rightChars="0" w:hanging="420" w:hangingChars="20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3） 主界面上下联动的形式，上区：主体信息记录；下区:主体信息相对应的【高管信息】【股权结构】；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4）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val="en-US" w:eastAsia="zh-CN"/>
        </w:rPr>
        <w:t>点击相应操作按钮，可以对信息进行新增、修改、复制、删除、审核、反审核、查询的操作；</w:t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Fonts w:hint="eastAsia"/>
          <w:b w:val="0"/>
          <w:bCs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2.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  <w:lang w:eastAsia="zh-CN"/>
        </w:rPr>
        <w:t>界面</w:t>
      </w:r>
    </w:p>
    <w:p>
      <w:r>
        <w:drawing>
          <wp:inline distT="0" distB="0" distL="114300" distR="114300">
            <wp:extent cx="5267325" cy="2488565"/>
            <wp:effectExtent l="9525" t="9525" r="11430" b="16510"/>
            <wp:docPr id="10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8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Fonts w:hint="eastAsia"/>
          <w:b w:val="0"/>
          <w:bCs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3.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  <w:lang w:eastAsia="zh-CN"/>
        </w:rPr>
        <w:t>按钮说明</w:t>
      </w:r>
    </w:p>
    <w:p>
      <w:pPr>
        <w:numPr>
          <w:ilvl w:val="0"/>
          <w:numId w:val="0"/>
        </w:numPr>
        <w:rPr>
          <w:rStyle w:val="17"/>
          <w:rFonts w:hint="eastAsia"/>
          <w:sz w:val="21"/>
          <w:szCs w:val="22"/>
          <w:lang w:val="en-US" w:eastAsia="zh-CN"/>
        </w:rPr>
      </w:pPr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58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859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859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1.支持模糊查询；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2.输入“查询条件”后，点击“查询”，进行查询操作；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highlight w:val="yellow"/>
                <w:vertAlign w:val="baseline"/>
                <w:lang w:val="en-US" w:eastAsia="zh-CN"/>
              </w:rPr>
              <w:t>结束</w:t>
            </w: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（股权结构）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未审核状态下，将股权信息保存为历史记录</w:t>
            </w:r>
          </w:p>
        </w:tc>
      </w:tr>
    </w:tbl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4"/>
        <w:spacing w:line="360" w:lineRule="auto"/>
        <w:rPr>
          <w:rStyle w:val="17"/>
          <w:rFonts w:hint="eastAsia"/>
          <w:b/>
          <w:bCs/>
          <w:sz w:val="21"/>
          <w:szCs w:val="22"/>
          <w:lang w:eastAsia="zh-CN"/>
        </w:rPr>
      </w:pPr>
      <w:r>
        <w:rPr>
          <w:rFonts w:hint="eastAsia"/>
          <w:lang w:val="en-US" w:eastAsia="zh-CN"/>
        </w:rPr>
        <w:t>主体信息维护</w:t>
      </w:r>
    </w:p>
    <w:p>
      <w:pPr>
        <w:pStyle w:val="24"/>
        <w:numPr>
          <w:ilvl w:val="0"/>
          <w:numId w:val="61"/>
        </w:numPr>
        <w:spacing w:line="360" w:lineRule="auto"/>
        <w:ind w:left="1140" w:leftChars="200" w:hanging="720" w:firstLineChars="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eastAsia="zh-CN"/>
        </w:rPr>
        <w:t>操作说明</w:t>
      </w:r>
    </w:p>
    <w:p>
      <w:pPr>
        <w:ind w:firstLine="420" w:firstLineChars="0"/>
        <w:rPr>
          <w:rFonts w:hint="eastAsia" w:ascii="宋体" w:hAnsi="宋体"/>
          <w:sz w:val="21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主体信息</w:t>
      </w:r>
      <w:r>
        <w:drawing>
          <wp:inline distT="0" distB="0" distL="114300" distR="114300">
            <wp:extent cx="510540" cy="220980"/>
            <wp:effectExtent l="0" t="0" r="7620" b="7620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</w:t>
      </w:r>
      <w:r>
        <w:rPr>
          <w:rFonts w:hint="eastAsia"/>
          <w:lang w:val="en-US" w:eastAsia="zh-CN"/>
        </w:rPr>
        <w:t>主体</w:t>
      </w:r>
      <w:r>
        <w:rPr>
          <w:rFonts w:hint="eastAsia" w:ascii="宋体" w:hAnsi="宋体"/>
          <w:sz w:val="21"/>
          <w:lang w:eastAsia="zh-CN"/>
        </w:rPr>
        <w:t>信息</w:t>
      </w:r>
      <w:r>
        <w:rPr>
          <w:rFonts w:hint="eastAsia"/>
          <w:lang w:eastAsia="zh-CN"/>
        </w:rPr>
        <w:t>维护</w:t>
      </w:r>
      <w:r>
        <w:rPr>
          <w:rFonts w:hint="eastAsia"/>
          <w:lang w:val="en-US" w:eastAsia="zh-CN"/>
        </w:rPr>
        <w:t>界面，可在维护界面维护主体</w:t>
      </w:r>
      <w:r>
        <w:rPr>
          <w:rFonts w:hint="eastAsia" w:ascii="宋体" w:hAnsi="宋体"/>
          <w:sz w:val="21"/>
          <w:lang w:eastAsia="zh-CN"/>
        </w:rPr>
        <w:t>信息。</w:t>
      </w:r>
    </w:p>
    <w:p>
      <w:pPr>
        <w:pStyle w:val="24"/>
        <w:numPr>
          <w:ilvl w:val="0"/>
          <w:numId w:val="61"/>
        </w:numPr>
        <w:spacing w:line="360" w:lineRule="auto"/>
        <w:ind w:left="1140" w:leftChars="200" w:hanging="720" w:firstLineChars="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eastAsia="zh-CN"/>
        </w:rPr>
        <w:t>界面</w:t>
      </w:r>
    </w:p>
    <w:p>
      <w:r>
        <w:drawing>
          <wp:inline distT="0" distB="0" distL="114300" distR="114300">
            <wp:extent cx="5263515" cy="2827020"/>
            <wp:effectExtent l="9525" t="9525" r="15240" b="1333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27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61"/>
        </w:numPr>
        <w:spacing w:line="360" w:lineRule="auto"/>
        <w:ind w:left="1140" w:leftChars="200" w:hanging="720" w:firstLineChars="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eastAsia="zh-CN"/>
        </w:rPr>
        <w:t>元素说明</w:t>
      </w:r>
    </w:p>
    <w:tbl>
      <w:tblPr>
        <w:tblStyle w:val="21"/>
        <w:tblW w:w="814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"/>
        <w:gridCol w:w="1080"/>
        <w:gridCol w:w="1569"/>
        <w:gridCol w:w="1468"/>
        <w:gridCol w:w="36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lang w:val="e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468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61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1486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加载内容来自词汇“机构类型”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1486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主体资质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复选框；多选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加载内容来自词汇“关联机构”，并增加“审计机构”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主体信息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组织形式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法人代表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1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法人代表证件类型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法人代表证件代码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注册资本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资本币种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成立日期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存续期间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资质信息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资质类型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加载内容来自词汇“关联机构”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批准机构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1-中国证券监督管理委员会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2-中国银行业监督管理委员会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3-中国保险监督管理委员会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批准文号</w:t>
            </w:r>
            <w:r>
              <w:rPr>
                <w:rFonts w:hint="eastAsia"/>
                <w:sz w:val="15"/>
                <w:szCs w:val="15"/>
                <w:lang w:val="en-US" w:eastAsia="zh-CN"/>
              </w:rPr>
              <w:t xml:space="preserve"> 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联系人信息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联系人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电话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手机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邮箱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传真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注册地址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注册邮编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办公地址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办公邮编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网址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/>
    <w:p>
      <w:pPr>
        <w:pStyle w:val="4"/>
        <w:spacing w:line="360" w:lineRule="auto"/>
        <w:rPr>
          <w:rStyle w:val="17"/>
          <w:rFonts w:hint="eastAsia"/>
          <w:b/>
          <w:bCs/>
          <w:sz w:val="21"/>
          <w:szCs w:val="22"/>
          <w:lang w:eastAsia="zh-CN"/>
        </w:rPr>
      </w:pPr>
      <w:r>
        <w:rPr>
          <w:rFonts w:hint="eastAsia"/>
          <w:lang w:val="en-US" w:eastAsia="zh-CN"/>
        </w:rPr>
        <w:t>高管信息维护</w:t>
      </w:r>
    </w:p>
    <w:p>
      <w:pPr>
        <w:pStyle w:val="24"/>
        <w:numPr>
          <w:ilvl w:val="0"/>
          <w:numId w:val="62"/>
        </w:numPr>
        <w:spacing w:line="360" w:lineRule="auto"/>
        <w:ind w:left="1140" w:leftChars="200" w:hanging="720" w:firstLineChars="0"/>
        <w:rPr>
          <w:rStyle w:val="17"/>
          <w:rFonts w:hint="eastAsia"/>
          <w:sz w:val="21"/>
          <w:szCs w:val="22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 操作说明</w:t>
      </w:r>
    </w:p>
    <w:p>
      <w:pPr>
        <w:pStyle w:val="3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840" w:firstLineChars="40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  <w:lang w:eastAsia="zh-CN"/>
        </w:rPr>
        <w:t>在主界面上方点选一条主体信息，联动下方的高管信息，点击</w:t>
      </w:r>
      <w:r>
        <w:drawing>
          <wp:inline distT="0" distB="0" distL="114300" distR="114300">
            <wp:extent cx="457200" cy="205740"/>
            <wp:effectExtent l="0" t="0" r="0" b="762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</w:t>
      </w:r>
      <w:r>
        <w:rPr>
          <w:rFonts w:hint="eastAsia"/>
          <w:lang w:val="en-US" w:eastAsia="zh-CN"/>
        </w:rPr>
        <w:tab/>
      </w:r>
      <w:r>
        <w:rPr>
          <w:rFonts w:hint="eastAsia"/>
          <w:lang w:eastAsia="zh-CN"/>
        </w:rPr>
        <w:t>至高管信息维护</w:t>
      </w:r>
      <w:r>
        <w:rPr>
          <w:rFonts w:hint="eastAsia"/>
          <w:lang w:val="en-US" w:eastAsia="zh-CN"/>
        </w:rPr>
        <w:t>界面，可在维护界面维护高管</w:t>
      </w:r>
      <w:r>
        <w:rPr>
          <w:rFonts w:hint="eastAsia" w:ascii="宋体" w:hAnsi="宋体"/>
          <w:sz w:val="21"/>
          <w:lang w:eastAsia="zh-CN"/>
        </w:rPr>
        <w:t>信息。</w:t>
      </w:r>
    </w:p>
    <w:p>
      <w:pPr>
        <w:pStyle w:val="24"/>
        <w:numPr>
          <w:ilvl w:val="0"/>
          <w:numId w:val="62"/>
        </w:numPr>
        <w:spacing w:line="360" w:lineRule="auto"/>
        <w:ind w:left="1140" w:leftChars="200" w:hanging="720" w:firstLineChars="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 </w:t>
      </w:r>
      <w:r>
        <w:rPr>
          <w:rStyle w:val="17"/>
          <w:rFonts w:hint="eastAsia"/>
          <w:sz w:val="21"/>
          <w:szCs w:val="22"/>
          <w:lang w:eastAsia="zh-CN"/>
        </w:rPr>
        <w:t>界面</w:t>
      </w:r>
    </w:p>
    <w:p>
      <w:r>
        <w:drawing>
          <wp:inline distT="0" distB="0" distL="114300" distR="114300">
            <wp:extent cx="5269865" cy="4606290"/>
            <wp:effectExtent l="9525" t="9525" r="24130" b="1714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062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62"/>
        </w:numPr>
        <w:spacing w:line="360" w:lineRule="auto"/>
        <w:ind w:left="1140" w:leftChars="200" w:hanging="720" w:firstLineChars="0"/>
        <w:rPr>
          <w:rStyle w:val="17"/>
          <w:rFonts w:hint="eastAsia"/>
          <w:sz w:val="21"/>
          <w:szCs w:val="22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 元素说明</w:t>
      </w:r>
    </w:p>
    <w:tbl>
      <w:tblPr>
        <w:tblStyle w:val="21"/>
        <w:tblW w:w="814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"/>
        <w:gridCol w:w="1246"/>
        <w:gridCol w:w="1403"/>
        <w:gridCol w:w="1468"/>
        <w:gridCol w:w="36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2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lang w:val="e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403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468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61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机构信息</w:t>
            </w:r>
          </w:p>
        </w:tc>
        <w:tc>
          <w:tcPr>
            <w:tcW w:w="12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主体名称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默认值；不可更改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</w:p>
        </w:tc>
        <w:tc>
          <w:tcPr>
            <w:tcW w:w="12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主体类型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默认值；不可更改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基本信息</w:t>
            </w:r>
          </w:p>
        </w:tc>
        <w:tc>
          <w:tcPr>
            <w:tcW w:w="12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职务类型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选项（树形分支）：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1.董事会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  1.1董事长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  1.2董事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  1.3独立董事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2.监事会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  2.1监事会主席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  2.2监事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  2.3职工监事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3.高级管理人员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  3.1总经理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  3.2副总经理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  3.3督察长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4.投资决策委员会成员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 xml:space="preserve">  4.1委员会成员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姓名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性别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最高毕业院校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专业名称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最高学位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最高学历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是否在职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任职开始日期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任职结束日期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履历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任职经历</w:t>
            </w: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任职公司名称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任职部门</w:t>
            </w:r>
          </w:p>
        </w:tc>
        <w:tc>
          <w:tcPr>
            <w:tcW w:w="1403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任职职位</w:t>
            </w:r>
          </w:p>
        </w:tc>
        <w:tc>
          <w:tcPr>
            <w:tcW w:w="1403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任职开始日期</w:t>
            </w:r>
          </w:p>
        </w:tc>
        <w:tc>
          <w:tcPr>
            <w:tcW w:w="1403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46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任职结束日期</w:t>
            </w:r>
          </w:p>
        </w:tc>
        <w:tc>
          <w:tcPr>
            <w:tcW w:w="1403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/>
    <w:p>
      <w:pPr>
        <w:pStyle w:val="4"/>
        <w:spacing w:line="360" w:lineRule="auto"/>
        <w:rPr>
          <w:rStyle w:val="17"/>
          <w:rFonts w:hint="eastAsia"/>
          <w:b/>
          <w:bCs/>
          <w:sz w:val="21"/>
          <w:szCs w:val="22"/>
          <w:lang w:val="en-US" w:eastAsia="zh-CN"/>
        </w:rPr>
      </w:pPr>
      <w:r>
        <w:rPr>
          <w:rFonts w:hint="eastAsia"/>
          <w:lang w:val="en-US" w:eastAsia="zh-CN"/>
        </w:rPr>
        <w:t>股权结构信息维护</w:t>
      </w:r>
    </w:p>
    <w:p>
      <w:pPr>
        <w:pStyle w:val="24"/>
        <w:numPr>
          <w:ilvl w:val="0"/>
          <w:numId w:val="63"/>
        </w:numPr>
        <w:spacing w:line="360" w:lineRule="auto"/>
        <w:ind w:left="1140" w:leftChars="200" w:hanging="720" w:firstLineChars="0"/>
        <w:rPr>
          <w:rStyle w:val="17"/>
          <w:rFonts w:hint="eastAsia"/>
          <w:sz w:val="21"/>
          <w:szCs w:val="22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 操作说明</w:t>
      </w:r>
    </w:p>
    <w:p>
      <w:pPr>
        <w:pStyle w:val="3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  <w:lang w:eastAsia="zh-CN"/>
        </w:rPr>
        <w:t>在主界面上方点选一条主体信息，联动下方的</w:t>
      </w:r>
      <w:r>
        <w:rPr>
          <w:rFonts w:hint="eastAsia"/>
          <w:lang w:val="en-US" w:eastAsia="zh-CN"/>
        </w:rPr>
        <w:t>股权结构</w:t>
      </w:r>
      <w:r>
        <w:rPr>
          <w:rFonts w:hint="eastAsia"/>
          <w:lang w:eastAsia="zh-CN"/>
        </w:rPr>
        <w:t>信息，点击</w:t>
      </w:r>
      <w:r>
        <w:drawing>
          <wp:inline distT="0" distB="0" distL="114300" distR="114300">
            <wp:extent cx="457200" cy="205740"/>
            <wp:effectExtent l="0" t="0" r="0" b="762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</w:t>
      </w:r>
      <w:r>
        <w:rPr>
          <w:rFonts w:hint="eastAsia"/>
          <w:lang w:val="en-US" w:eastAsia="zh-CN"/>
        </w:rPr>
        <w:t>股权结构</w:t>
      </w:r>
      <w:r>
        <w:rPr>
          <w:rFonts w:hint="eastAsia"/>
          <w:lang w:eastAsia="zh-CN"/>
        </w:rPr>
        <w:t>维护</w:t>
      </w:r>
      <w:r>
        <w:rPr>
          <w:rFonts w:hint="eastAsia"/>
          <w:lang w:val="en-US" w:eastAsia="zh-CN"/>
        </w:rPr>
        <w:t>界面，可在维护界面维护股权结构</w:t>
      </w:r>
      <w:r>
        <w:rPr>
          <w:rFonts w:hint="eastAsia"/>
          <w:lang w:eastAsia="zh-CN"/>
        </w:rPr>
        <w:t>信息</w:t>
      </w:r>
      <w:r>
        <w:rPr>
          <w:rFonts w:hint="eastAsia" w:ascii="宋体" w:hAnsi="宋体"/>
          <w:sz w:val="21"/>
          <w:lang w:eastAsia="zh-CN"/>
        </w:rPr>
        <w:t>。</w:t>
      </w:r>
    </w:p>
    <w:p>
      <w:pPr>
        <w:pStyle w:val="24"/>
        <w:numPr>
          <w:ilvl w:val="0"/>
          <w:numId w:val="63"/>
        </w:numPr>
        <w:spacing w:line="360" w:lineRule="auto"/>
        <w:ind w:left="1140" w:leftChars="200" w:hanging="720" w:firstLineChars="0"/>
        <w:rPr>
          <w:rFonts w:hint="eastAsia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 </w:t>
      </w:r>
      <w:r>
        <w:rPr>
          <w:rStyle w:val="17"/>
          <w:rFonts w:hint="eastAsia"/>
          <w:sz w:val="21"/>
          <w:szCs w:val="22"/>
          <w:lang w:eastAsia="zh-CN"/>
        </w:rPr>
        <w:t>界面</w:t>
      </w:r>
    </w:p>
    <w:p>
      <w:r>
        <w:drawing>
          <wp:inline distT="0" distB="0" distL="114300" distR="114300">
            <wp:extent cx="5269865" cy="1591310"/>
            <wp:effectExtent l="9525" t="9525" r="24130" b="1460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1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3"/>
        </w:numPr>
        <w:ind w:left="1140" w:leftChars="200" w:hanging="7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元素说明</w:t>
      </w:r>
    </w:p>
    <w:tbl>
      <w:tblPr>
        <w:tblStyle w:val="21"/>
        <w:tblW w:w="814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"/>
        <w:gridCol w:w="1246"/>
        <w:gridCol w:w="1403"/>
        <w:gridCol w:w="1468"/>
        <w:gridCol w:w="36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2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lang w:val="e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403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468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61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0" w:hRule="atLeast"/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机构信息</w:t>
            </w:r>
          </w:p>
        </w:tc>
        <w:tc>
          <w:tcPr>
            <w:tcW w:w="12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主体名称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默认值；不可更改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</w:p>
        </w:tc>
        <w:tc>
          <w:tcPr>
            <w:tcW w:w="12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主体类型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默认值；不可更改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股权信息</w:t>
            </w:r>
          </w:p>
        </w:tc>
        <w:tc>
          <w:tcPr>
            <w:tcW w:w="12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股东名称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4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</w:p>
        </w:tc>
        <w:tc>
          <w:tcPr>
            <w:tcW w:w="12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股东类型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1-企业法人   2-个人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</w:p>
        </w:tc>
        <w:tc>
          <w:tcPr>
            <w:tcW w:w="12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股本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</w:p>
        </w:tc>
        <w:tc>
          <w:tcPr>
            <w:tcW w:w="12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开始日期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日期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</w:p>
        </w:tc>
        <w:tc>
          <w:tcPr>
            <w:tcW w:w="12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结束日期</w:t>
            </w:r>
          </w:p>
        </w:tc>
        <w:tc>
          <w:tcPr>
            <w:tcW w:w="1403" w:type="dxa"/>
            <w:vAlign w:val="top"/>
          </w:tcPr>
          <w:p>
            <w:pPr>
              <w:spacing w:line="360" w:lineRule="auto"/>
              <w:jc w:val="center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日期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24"/>
        <w:numPr>
          <w:ilvl w:val="0"/>
          <w:numId w:val="63"/>
        </w:numPr>
        <w:spacing w:line="360" w:lineRule="auto"/>
        <w:ind w:left="1140" w:leftChars="200" w:hanging="720" w:firstLineChars="0"/>
        <w:rPr>
          <w:rFonts w:hint="eastAsia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 </w:t>
      </w:r>
      <w:r>
        <w:rPr>
          <w:rStyle w:val="17"/>
          <w:rFonts w:hint="eastAsia"/>
          <w:sz w:val="21"/>
          <w:szCs w:val="22"/>
          <w:lang w:eastAsia="zh-CN"/>
        </w:rPr>
        <w:t>“结束”功能</w:t>
      </w:r>
    </w:p>
    <w:p>
      <w:pPr>
        <w:pStyle w:val="24"/>
        <w:numPr>
          <w:ilvl w:val="0"/>
          <w:numId w:val="0"/>
        </w:numPr>
        <w:spacing w:line="360" w:lineRule="auto"/>
        <w:ind w:leftChars="200"/>
      </w:pPr>
      <w:r>
        <w:drawing>
          <wp:inline distT="0" distB="0" distL="114300" distR="114300">
            <wp:extent cx="5267325" cy="2538730"/>
            <wp:effectExtent l="9525" t="9525" r="11430" b="12065"/>
            <wp:docPr id="10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87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line="360" w:lineRule="auto"/>
        <w:ind w:leftChars="200"/>
      </w:pPr>
      <w:r>
        <w:rPr>
          <w:rFonts w:hint="eastAsia"/>
          <w:lang w:eastAsia="zh-CN"/>
        </w:rPr>
        <w:t>点击“结束”，跳转维护界面，只可编辑【结束日期】</w:t>
      </w:r>
    </w:p>
    <w:p>
      <w:pPr>
        <w:pStyle w:val="24"/>
        <w:numPr>
          <w:ilvl w:val="0"/>
          <w:numId w:val="0"/>
        </w:numPr>
        <w:spacing w:line="360" w:lineRule="auto"/>
        <w:ind w:leftChars="200"/>
        <w:rPr>
          <w:rFonts w:hint="eastAsia"/>
          <w:lang w:eastAsia="zh-CN"/>
        </w:rPr>
      </w:pPr>
      <w:r>
        <w:drawing>
          <wp:inline distT="0" distB="0" distL="114300" distR="114300">
            <wp:extent cx="5268595" cy="2804795"/>
            <wp:effectExtent l="9525" t="9525" r="10160" b="20320"/>
            <wp:docPr id="10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4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审计机构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审计机构主界面</w:t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1.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</w:rPr>
        <w:t>操作说明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val="en-US" w:eastAsia="zh-CN"/>
        </w:rPr>
        <w:t>1)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eastAsia="zh-CN"/>
        </w:rPr>
        <w:t>打开【公共功能】--&gt;点击【审计机构】；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val="en-US" w:eastAsia="zh-CN"/>
        </w:rPr>
        <w:t>2）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eastAsia="zh-CN"/>
        </w:rPr>
        <w:t>系统界面加载【审计机构】的主界面；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200" w:right="0" w:rightChars="0" w:hanging="420" w:hangingChars="20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3） 主界面上下联动的形式，上区：审计机构信息；下区:审计机构相对应的【审计产品管理】【审计费用管理】；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4）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val="en-US" w:eastAsia="zh-CN"/>
        </w:rPr>
        <w:t>点击相应操作按钮，可以对信息进行新增、修改、复制、删除、审核、反审核、查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val="en-US" w:eastAsia="zh-CN"/>
        </w:rPr>
        <w:t>询的操作；</w:t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2.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  <w:lang w:eastAsia="zh-CN"/>
        </w:rPr>
        <w:t>界面</w:t>
      </w:r>
    </w:p>
    <w:p>
      <w:pPr>
        <w:spacing w:line="360" w:lineRule="auto"/>
      </w:pPr>
      <w:r>
        <w:drawing>
          <wp:inline distT="0" distB="0" distL="114300" distR="114300">
            <wp:extent cx="5273675" cy="2156460"/>
            <wp:effectExtent l="0" t="0" r="14605" b="762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70500" cy="2127885"/>
            <wp:effectExtent l="0" t="0" r="2540" b="5715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3.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  <w:lang w:eastAsia="zh-CN"/>
        </w:rPr>
        <w:t>按钮说明</w:t>
      </w:r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4"/>
        <w:gridCol w:w="895"/>
        <w:gridCol w:w="5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849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742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gridSpan w:val="2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742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gridSpan w:val="2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gridSpan w:val="2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gridSpan w:val="2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gridSpan w:val="2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849" w:type="dxa"/>
            <w:gridSpan w:val="2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gridSpan w:val="2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gridSpan w:val="2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1.支持模糊查询；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2.输入“查询条件”后，点击“查询”，进行查询操作；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4" w:type="dxa"/>
            <w:vMerge w:val="restart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审计产品管理</w:t>
            </w:r>
          </w:p>
        </w:tc>
        <w:tc>
          <w:tcPr>
            <w:tcW w:w="895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绑定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4" w:type="dxa"/>
            <w:vMerge w:val="continue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895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解绑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4" w:type="dxa"/>
            <w:vMerge w:val="restart"/>
            <w:vAlign w:val="top"/>
          </w:tcPr>
          <w:p>
            <w:pPr>
              <w:pStyle w:val="30"/>
              <w:spacing w:line="360" w:lineRule="auto"/>
              <w:jc w:val="both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审计费用管理</w:t>
            </w:r>
          </w:p>
        </w:tc>
        <w:tc>
          <w:tcPr>
            <w:tcW w:w="895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设置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4" w:type="dxa"/>
            <w:vMerge w:val="continue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895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预算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4" w:type="dxa"/>
            <w:vMerge w:val="continue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895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保存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4" w:type="dxa"/>
            <w:vMerge w:val="continue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</w:p>
        </w:tc>
        <w:tc>
          <w:tcPr>
            <w:tcW w:w="895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导入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spacing w:line="360" w:lineRule="auto"/>
        <w:rPr>
          <w:rStyle w:val="17"/>
          <w:rFonts w:hint="eastAsia"/>
          <w:b/>
          <w:bCs/>
          <w:sz w:val="21"/>
          <w:szCs w:val="22"/>
          <w:lang w:eastAsia="zh-CN"/>
        </w:rPr>
      </w:pPr>
      <w:r>
        <w:rPr>
          <w:rFonts w:hint="eastAsia"/>
          <w:lang w:val="en-US" w:eastAsia="zh-CN"/>
        </w:rPr>
        <w:t>审计机构维护</w:t>
      </w:r>
    </w:p>
    <w:p>
      <w:pPr>
        <w:pStyle w:val="24"/>
        <w:numPr>
          <w:ilvl w:val="0"/>
          <w:numId w:val="0"/>
        </w:numPr>
        <w:spacing w:line="360" w:lineRule="auto"/>
        <w:ind w:leftChars="20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1.   </w:t>
      </w:r>
      <w:r>
        <w:rPr>
          <w:rStyle w:val="17"/>
          <w:rFonts w:hint="eastAsia"/>
          <w:sz w:val="21"/>
          <w:szCs w:val="22"/>
          <w:lang w:eastAsia="zh-CN"/>
        </w:rPr>
        <w:t>操作说明</w:t>
      </w:r>
    </w:p>
    <w:p>
      <w:pPr>
        <w:ind w:left="420" w:leftChars="0" w:firstLine="420" w:firstLineChars="0"/>
        <w:rPr>
          <w:rFonts w:hint="eastAsia" w:ascii="宋体" w:hAnsi="宋体"/>
          <w:sz w:val="21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审计机构</w:t>
      </w:r>
      <w:r>
        <w:drawing>
          <wp:inline distT="0" distB="0" distL="114300" distR="114300">
            <wp:extent cx="510540" cy="220980"/>
            <wp:effectExtent l="0" t="0" r="7620" b="7620"/>
            <wp:docPr id="9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，跳转至审计机构维护</w:t>
      </w:r>
      <w:r>
        <w:rPr>
          <w:rFonts w:hint="eastAsia"/>
          <w:lang w:val="en-US" w:eastAsia="zh-CN"/>
        </w:rPr>
        <w:t>界面，可在维护界面维护</w:t>
      </w:r>
      <w:r>
        <w:rPr>
          <w:rFonts w:hint="eastAsia"/>
          <w:lang w:eastAsia="zh-CN"/>
        </w:rPr>
        <w:t>审计机构</w:t>
      </w:r>
      <w:r>
        <w:rPr>
          <w:rFonts w:hint="eastAsia" w:ascii="宋体" w:hAnsi="宋体"/>
          <w:sz w:val="21"/>
          <w:lang w:eastAsia="zh-CN"/>
        </w:rPr>
        <w:t>信息。</w:t>
      </w:r>
    </w:p>
    <w:p>
      <w:pPr>
        <w:pStyle w:val="24"/>
        <w:numPr>
          <w:ilvl w:val="0"/>
          <w:numId w:val="0"/>
        </w:numPr>
        <w:spacing w:line="360" w:lineRule="auto"/>
        <w:ind w:leftChars="20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2.   </w:t>
      </w:r>
      <w:r>
        <w:rPr>
          <w:rStyle w:val="17"/>
          <w:rFonts w:hint="eastAsia"/>
          <w:sz w:val="21"/>
          <w:szCs w:val="22"/>
          <w:lang w:eastAsia="zh-CN"/>
        </w:rPr>
        <w:t>界面（同主体信息）</w:t>
      </w:r>
    </w:p>
    <w:p>
      <w:pPr>
        <w:pStyle w:val="24"/>
        <w:numPr>
          <w:ilvl w:val="0"/>
          <w:numId w:val="0"/>
        </w:numPr>
        <w:spacing w:line="360" w:lineRule="auto"/>
        <w:ind w:left="420" w:leftChars="200" w:firstLine="420" w:firstLineChars="0"/>
        <w:rPr>
          <w:rStyle w:val="17"/>
          <w:rFonts w:hint="eastAsia"/>
          <w:b w:val="0"/>
          <w:bCs w:val="0"/>
          <w:sz w:val="21"/>
          <w:szCs w:val="22"/>
          <w:lang w:eastAsia="zh-CN"/>
        </w:rPr>
      </w:pP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>【主体资质】默认选择“审计机构”，且不可更改</w:t>
      </w:r>
    </w:p>
    <w:p>
      <w:pPr>
        <w:pStyle w:val="24"/>
        <w:numPr>
          <w:ilvl w:val="0"/>
          <w:numId w:val="0"/>
        </w:numPr>
        <w:tabs>
          <w:tab w:val="left" w:pos="1809"/>
        </w:tabs>
        <w:spacing w:line="360" w:lineRule="auto"/>
      </w:pPr>
      <w:r>
        <w:drawing>
          <wp:inline distT="0" distB="0" distL="114300" distR="114300">
            <wp:extent cx="5268595" cy="3009265"/>
            <wp:effectExtent l="9525" t="9525" r="10160" b="1397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9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line="360" w:lineRule="auto"/>
        <w:ind w:leftChars="20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3.   </w:t>
      </w:r>
      <w:r>
        <w:rPr>
          <w:rStyle w:val="17"/>
          <w:rFonts w:hint="eastAsia"/>
          <w:sz w:val="21"/>
          <w:szCs w:val="22"/>
          <w:lang w:eastAsia="zh-CN"/>
        </w:rPr>
        <w:t>元素说明</w:t>
      </w:r>
    </w:p>
    <w:p>
      <w:pPr>
        <w:pStyle w:val="24"/>
        <w:numPr>
          <w:ilvl w:val="0"/>
          <w:numId w:val="0"/>
        </w:numPr>
        <w:tabs>
          <w:tab w:val="left" w:pos="1809"/>
        </w:tabs>
        <w:spacing w:line="360" w:lineRule="auto"/>
        <w:rPr>
          <w:rFonts w:hint="eastAsia"/>
          <w:lang w:eastAsia="zh-CN"/>
        </w:rPr>
      </w:pPr>
    </w:p>
    <w:tbl>
      <w:tblPr>
        <w:tblStyle w:val="21"/>
        <w:tblW w:w="814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"/>
        <w:gridCol w:w="1080"/>
        <w:gridCol w:w="1569"/>
        <w:gridCol w:w="1468"/>
        <w:gridCol w:w="36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lang w:val="e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468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61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  <w:jc w:val="center"/>
        </w:trPr>
        <w:tc>
          <w:tcPr>
            <w:tcW w:w="1486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加载内容来自词汇“机构类型”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  <w:jc w:val="center"/>
        </w:trPr>
        <w:tc>
          <w:tcPr>
            <w:tcW w:w="1486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主体资质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默认值，不可更改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加载“审计机构”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主体信息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组织形式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法人代表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1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法人代表证件类型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法人代表证件代码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注册资本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资本币种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成立日期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日期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存续期间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资质信息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资质类型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加载内容来自词汇“关联机构”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批准机构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1-中国证券监督管理委员会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2-中国银行业监督管理委员会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3-中国保险监督管理委员会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批准文号</w:t>
            </w:r>
            <w:r>
              <w:rPr>
                <w:rFonts w:hint="eastAsia"/>
                <w:sz w:val="15"/>
                <w:szCs w:val="15"/>
                <w:lang w:val="en-US" w:eastAsia="zh-CN"/>
              </w:rPr>
              <w:t xml:space="preserve"> 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联系人信息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联系人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电话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手机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邮箱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传真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注册地址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注册邮编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办公地址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办公邮编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网址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4"/>
        <w:rPr>
          <w:rStyle w:val="17"/>
          <w:rFonts w:hint="eastAsia"/>
          <w:b/>
          <w:bCs/>
          <w:sz w:val="21"/>
          <w:szCs w:val="22"/>
          <w:lang w:val="en-US" w:eastAsia="zh-CN"/>
        </w:rPr>
      </w:pPr>
      <w:r>
        <w:rPr>
          <w:rStyle w:val="17"/>
          <w:rFonts w:hint="eastAsia"/>
          <w:b/>
          <w:bCs/>
          <w:sz w:val="21"/>
          <w:szCs w:val="22"/>
          <w:lang w:val="en-US" w:eastAsia="zh-CN"/>
        </w:rPr>
        <w:t>产品绑定</w:t>
      </w:r>
    </w:p>
    <w:p>
      <w:pPr>
        <w:pStyle w:val="24"/>
        <w:numPr>
          <w:ilvl w:val="0"/>
          <w:numId w:val="0"/>
        </w:numPr>
        <w:spacing w:line="360" w:lineRule="auto"/>
        <w:ind w:leftChars="20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1.   </w:t>
      </w:r>
      <w:r>
        <w:rPr>
          <w:rStyle w:val="17"/>
          <w:rFonts w:hint="eastAsia"/>
          <w:sz w:val="21"/>
          <w:szCs w:val="22"/>
          <w:lang w:eastAsia="zh-CN"/>
        </w:rPr>
        <w:t>操作说明</w:t>
      </w:r>
    </w:p>
    <w:p>
      <w:pPr>
        <w:ind w:left="420" w:leftChars="0" w:firstLine="420" w:firstLineChars="0"/>
        <w:rPr>
          <w:rFonts w:hint="eastAsia" w:ascii="宋体" w:hAnsi="宋体"/>
          <w:sz w:val="21"/>
          <w:lang w:eastAsia="zh-CN"/>
        </w:rPr>
      </w:pPr>
      <w:r>
        <w:rPr>
          <w:rFonts w:hint="eastAsia"/>
          <w:lang w:eastAsia="zh-CN"/>
        </w:rPr>
        <w:t>在主界面上方点选一条审计机构信息，联动下方的审计产品管理，</w:t>
      </w:r>
      <w:r>
        <w:rPr>
          <w:rFonts w:hint="eastAsia"/>
        </w:rPr>
        <w:t>点击</w:t>
      </w:r>
      <w:r>
        <w:drawing>
          <wp:inline distT="0" distB="0" distL="114300" distR="114300">
            <wp:extent cx="502920" cy="236220"/>
            <wp:effectExtent l="0" t="0" r="0" b="762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</w:t>
      </w:r>
      <w:r>
        <w:rPr>
          <w:rFonts w:hint="eastAsia"/>
          <w:lang w:val="en-US" w:eastAsia="zh-CN"/>
        </w:rPr>
        <w:t>产品绑定界面，可在绑定界面绑定产品</w:t>
      </w:r>
      <w:r>
        <w:rPr>
          <w:rFonts w:hint="eastAsia" w:ascii="宋体" w:hAnsi="宋体"/>
          <w:sz w:val="21"/>
          <w:lang w:eastAsia="zh-CN"/>
        </w:rPr>
        <w:t>。</w:t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Fonts w:hint="eastAsia"/>
          <w:b w:val="0"/>
          <w:bCs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2.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  <w:lang w:val="en-US" w:eastAsia="zh-CN"/>
        </w:rPr>
        <w:t>绑定</w:t>
      </w:r>
      <w:r>
        <w:rPr>
          <w:rStyle w:val="17"/>
          <w:rFonts w:hint="eastAsia"/>
          <w:sz w:val="21"/>
          <w:szCs w:val="22"/>
          <w:lang w:eastAsia="zh-CN"/>
        </w:rPr>
        <w:t>界面</w:t>
      </w:r>
    </w:p>
    <w:p>
      <w:pPr>
        <w:pStyle w:val="24"/>
        <w:numPr>
          <w:ilvl w:val="0"/>
          <w:numId w:val="0"/>
        </w:numPr>
        <w:spacing w:line="360" w:lineRule="auto"/>
        <w:rPr>
          <w:rStyle w:val="17"/>
          <w:rFonts w:hint="eastAsia"/>
          <w:b w:val="0"/>
          <w:bCs w:val="0"/>
          <w:sz w:val="21"/>
          <w:szCs w:val="22"/>
          <w:lang w:eastAsia="zh-CN"/>
        </w:rPr>
      </w:pP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 xml:space="preserve"> </w:t>
      </w:r>
      <w:r>
        <w:rPr>
          <w:rStyle w:val="17"/>
          <w:rFonts w:hint="eastAsia"/>
          <w:b w:val="0"/>
          <w:bCs w:val="0"/>
          <w:sz w:val="21"/>
          <w:szCs w:val="22"/>
          <w:lang w:val="en-US" w:eastAsia="zh-CN"/>
        </w:rPr>
        <w:t xml:space="preserve"> </w:t>
      </w: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>（</w:t>
      </w:r>
      <w:r>
        <w:rPr>
          <w:rStyle w:val="17"/>
          <w:rFonts w:hint="eastAsia"/>
          <w:b w:val="0"/>
          <w:bCs w:val="0"/>
          <w:sz w:val="21"/>
          <w:szCs w:val="22"/>
          <w:lang w:val="en-US" w:eastAsia="zh-CN"/>
        </w:rPr>
        <w:t>1</w:t>
      </w: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>）</w:t>
      </w:r>
      <w:r>
        <w:rPr>
          <w:rStyle w:val="17"/>
          <w:rFonts w:hint="eastAsia"/>
          <w:b w:val="0"/>
          <w:bCs w:val="0"/>
          <w:sz w:val="21"/>
          <w:szCs w:val="22"/>
          <w:lang w:val="en-US" w:eastAsia="zh-CN"/>
        </w:rPr>
        <w:t xml:space="preserve"> </w:t>
      </w: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>若选择某年度，该年度审计机构和产品未绑定，则下面的产品列表均未勾选，用</w:t>
      </w:r>
      <w:r>
        <w:rPr>
          <w:rStyle w:val="17"/>
          <w:rFonts w:hint="eastAsia"/>
          <w:b w:val="0"/>
          <w:bCs w:val="0"/>
          <w:sz w:val="21"/>
          <w:szCs w:val="22"/>
          <w:lang w:val="en-US" w:eastAsia="zh-CN"/>
        </w:rPr>
        <w:tab/>
      </w: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>户可任意勾选产品；</w:t>
      </w:r>
    </w:p>
    <w:p>
      <w:pPr>
        <w:pStyle w:val="24"/>
        <w:numPr>
          <w:ilvl w:val="0"/>
          <w:numId w:val="0"/>
        </w:numPr>
        <w:spacing w:line="360" w:lineRule="auto"/>
        <w:rPr>
          <w:rStyle w:val="17"/>
          <w:rFonts w:hint="eastAsia"/>
          <w:b w:val="0"/>
          <w:bCs w:val="0"/>
          <w:sz w:val="21"/>
          <w:szCs w:val="22"/>
          <w:lang w:eastAsia="zh-CN"/>
        </w:rPr>
      </w:pP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 xml:space="preserve">  （</w:t>
      </w:r>
      <w:r>
        <w:rPr>
          <w:rStyle w:val="17"/>
          <w:rFonts w:hint="eastAsia"/>
          <w:b w:val="0"/>
          <w:bCs w:val="0"/>
          <w:sz w:val="21"/>
          <w:szCs w:val="22"/>
          <w:lang w:val="en-US" w:eastAsia="zh-CN"/>
        </w:rPr>
        <w:t>2</w:t>
      </w: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>）</w:t>
      </w:r>
      <w:r>
        <w:rPr>
          <w:rStyle w:val="17"/>
          <w:rFonts w:hint="eastAsia"/>
          <w:b w:val="0"/>
          <w:bCs w:val="0"/>
          <w:sz w:val="21"/>
          <w:szCs w:val="22"/>
          <w:lang w:val="en-US" w:eastAsia="zh-CN"/>
        </w:rPr>
        <w:t xml:space="preserve"> </w:t>
      </w: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>若选择某年度，该年度审计机构和产品已绑定过，则产品列表中已绑定的产品勾</w:t>
      </w:r>
      <w:r>
        <w:rPr>
          <w:rStyle w:val="17"/>
          <w:rFonts w:hint="eastAsia"/>
          <w:b w:val="0"/>
          <w:bCs w:val="0"/>
          <w:sz w:val="21"/>
          <w:szCs w:val="22"/>
          <w:lang w:val="en-US" w:eastAsia="zh-CN"/>
        </w:rPr>
        <w:tab/>
      </w: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>选“√”；已勾选的产品不管“审核”、“未审核”，均不可取消勾选；用户只可对未</w:t>
      </w:r>
      <w:r>
        <w:rPr>
          <w:rStyle w:val="17"/>
          <w:rFonts w:hint="eastAsia"/>
          <w:b w:val="0"/>
          <w:bCs w:val="0"/>
          <w:sz w:val="21"/>
          <w:szCs w:val="22"/>
          <w:lang w:val="en-US" w:eastAsia="zh-CN"/>
        </w:rPr>
        <w:tab/>
      </w: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>勾选的产品进行勾选和取消勾选。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000375"/>
            <wp:effectExtent l="9525" t="9525" r="22860" b="2286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0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Style w:val="17"/>
          <w:rFonts w:hint="eastAsia"/>
          <w:b/>
          <w:bCs/>
          <w:sz w:val="21"/>
          <w:szCs w:val="22"/>
          <w:lang w:eastAsia="zh-CN"/>
        </w:rPr>
      </w:pPr>
      <w:r>
        <w:rPr>
          <w:rStyle w:val="17"/>
          <w:rFonts w:hint="eastAsia"/>
          <w:b/>
          <w:bCs/>
          <w:sz w:val="21"/>
          <w:szCs w:val="22"/>
          <w:lang w:eastAsia="zh-CN"/>
        </w:rPr>
        <w:t>解绑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/>
        </w:rPr>
      </w:pPr>
      <w:r>
        <w:rPr>
          <w:rFonts w:hint="eastAsia"/>
        </w:rPr>
        <w:t>解除某一年度，产品和审计机构的绑定关系</w:t>
      </w:r>
      <w:r>
        <w:rPr>
          <w:rFonts w:hint="eastAsia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在主界面上方点选一条审计机构信息</w:t>
      </w:r>
      <w:r>
        <w:rPr>
          <w:rFonts w:hint="eastAsia"/>
        </w:rPr>
        <w:t>——</w:t>
      </w:r>
      <w:r>
        <w:rPr>
          <w:rFonts w:hint="eastAsia"/>
          <w:lang w:eastAsia="zh-CN"/>
        </w:rPr>
        <w:t>》在主界面下方</w:t>
      </w:r>
      <w:r>
        <w:rPr>
          <w:rFonts w:hint="eastAsia"/>
        </w:rPr>
        <w:t>勾选审计机构某年度的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一条/多条记录——》点击“反审核”——》点击</w:t>
      </w:r>
      <w:r>
        <w:rPr>
          <w:rFonts w:hint="eastAsia"/>
          <w:lang w:eastAsia="zh-CN"/>
        </w:rPr>
        <w:t>“解绑”</w:t>
      </w:r>
      <w:r>
        <w:rPr>
          <w:rFonts w:hint="eastAsia"/>
        </w:rPr>
        <w:t>——》取消勾选，则解除绑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定——》保存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  <w:r>
        <w:rPr>
          <w:rFonts w:hint="eastAsia"/>
          <w:lang w:eastAsia="zh-CN"/>
        </w:rPr>
        <w:t>解绑界面</w:t>
      </w:r>
      <w:r>
        <w:rPr>
          <w:rFonts w:hint="eastAsia"/>
        </w:rPr>
        <w:t>加载所有和审计机构绑定的产品，且已勾上；</w:t>
      </w:r>
    </w:p>
    <w:p>
      <w:pPr>
        <w:keepNext w:val="0"/>
        <w:keepLines w:val="0"/>
        <w:pageBreakBefore w:val="0"/>
        <w:widowControl w:val="0"/>
        <w:numPr>
          <w:ilvl w:val="0"/>
          <w:numId w:val="6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  <w:r>
        <w:rPr>
          <w:rFonts w:hint="eastAsia"/>
          <w:lang w:eastAsia="zh-CN"/>
        </w:rPr>
        <w:t>已</w:t>
      </w:r>
      <w:r>
        <w:rPr>
          <w:rFonts w:hint="eastAsia"/>
        </w:rPr>
        <w:t>审核的记录不可取消勾选，未审核的记录可取消勾选；</w:t>
      </w:r>
    </w:p>
    <w:p>
      <w:r>
        <w:drawing>
          <wp:inline distT="0" distB="0" distL="114300" distR="114300">
            <wp:extent cx="5273040" cy="2811780"/>
            <wp:effectExtent l="9525" t="9525" r="20955" b="13335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销售机构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销售机构主界面</w:t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1.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</w:rPr>
        <w:t>操作说明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val="en-US" w:eastAsia="zh-CN"/>
        </w:rPr>
        <w:t>1)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eastAsia="zh-CN"/>
        </w:rPr>
        <w:t>打开【公共功能】--&gt;点击【销售机构】；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val="en-US" w:eastAsia="zh-CN"/>
        </w:rPr>
        <w:t>2）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eastAsia="zh-CN"/>
        </w:rPr>
        <w:t>系统界面加载【销售机构】的主界面；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200" w:right="0" w:rightChars="0" w:hanging="420" w:hangingChars="20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3） 主界面上下联动的形式，上区：销售机构信息；下区:销售机构相对应的【销售协议】【产品绑定】【接口参数】【销售商账户】；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4）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val="en-US" w:eastAsia="zh-CN"/>
        </w:rPr>
        <w:t>点击相应操作按钮，可以对信息进行新增、修改、复制、删除、审核、反审核、查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val="en-US" w:eastAsia="zh-CN"/>
        </w:rPr>
        <w:t>询的操作；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b/>
          <w:bCs/>
          <w:sz w:val="21"/>
          <w:lang w:val="en-US" w:eastAsia="zh-CN"/>
        </w:rPr>
      </w:pPr>
      <w:r>
        <w:rPr>
          <w:rFonts w:hint="eastAsia" w:ascii="宋体" w:hAnsi="宋体"/>
          <w:b/>
          <w:bCs/>
          <w:sz w:val="21"/>
          <w:lang w:val="en-US" w:eastAsia="zh-CN"/>
        </w:rPr>
        <w:t>2.  界面</w:t>
      </w:r>
    </w:p>
    <w:p>
      <w:pPr>
        <w:ind w:left="210" w:hanging="210" w:hangingChars="100"/>
      </w:pPr>
      <w:r>
        <w:drawing>
          <wp:inline distT="0" distB="0" distL="114300" distR="114300">
            <wp:extent cx="5267960" cy="2343150"/>
            <wp:effectExtent l="0" t="0" r="5080" b="3810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   按钮说明</w:t>
      </w:r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9"/>
        <w:gridCol w:w="57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849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742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742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84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742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1.支持模糊查询；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2.输入“查询条件”后，点击“查询”，进行查询操作；</w:t>
            </w:r>
          </w:p>
        </w:tc>
      </w:tr>
    </w:tbl>
    <w:p>
      <w:pPr>
        <w:ind w:left="210" w:hanging="211" w:hangingChars="100"/>
        <w:rPr>
          <w:rFonts w:hint="eastAsia"/>
          <w:b/>
          <w:bCs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销售机构维护</w:t>
      </w:r>
    </w:p>
    <w:p>
      <w:pPr>
        <w:pStyle w:val="24"/>
        <w:numPr>
          <w:ilvl w:val="0"/>
          <w:numId w:val="0"/>
        </w:numPr>
        <w:spacing w:line="360" w:lineRule="auto"/>
        <w:ind w:leftChars="20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1.   </w:t>
      </w:r>
      <w:r>
        <w:rPr>
          <w:rStyle w:val="17"/>
          <w:rFonts w:hint="eastAsia"/>
          <w:sz w:val="21"/>
          <w:szCs w:val="22"/>
          <w:lang w:eastAsia="zh-CN"/>
        </w:rPr>
        <w:t>操作说明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销售机构</w:t>
      </w:r>
      <w:r>
        <w:drawing>
          <wp:inline distT="0" distB="0" distL="114300" distR="114300">
            <wp:extent cx="510540" cy="220980"/>
            <wp:effectExtent l="0" t="0" r="7620" b="7620"/>
            <wp:docPr id="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，跳转至销售机构维护</w:t>
      </w:r>
      <w:r>
        <w:rPr>
          <w:rFonts w:hint="eastAsia"/>
          <w:lang w:val="en-US" w:eastAsia="zh-CN"/>
        </w:rPr>
        <w:t>界面，可在维护界面销售</w:t>
      </w:r>
      <w:r>
        <w:rPr>
          <w:rFonts w:hint="eastAsia"/>
          <w:lang w:eastAsia="zh-CN"/>
        </w:rPr>
        <w:t>审计机构</w:t>
      </w:r>
      <w:r>
        <w:rPr>
          <w:rFonts w:hint="eastAsia" w:ascii="宋体" w:hAnsi="宋体"/>
          <w:sz w:val="21"/>
          <w:lang w:eastAsia="zh-CN"/>
        </w:rPr>
        <w:t>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Style w:val="17"/>
          <w:rFonts w:hint="eastAsia"/>
          <w:color w:val="000000" w:themeColor="text1"/>
          <w:sz w:val="21"/>
          <w:szCs w:val="22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17"/>
          <w:rFonts w:hint="eastAsia"/>
          <w:color w:val="000000" w:themeColor="text1"/>
          <w:sz w:val="21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2.   </w:t>
      </w:r>
      <w:r>
        <w:rPr>
          <w:rStyle w:val="17"/>
          <w:rFonts w:hint="eastAsia"/>
          <w:color w:val="000000" w:themeColor="text1"/>
          <w:sz w:val="21"/>
          <w:szCs w:val="22"/>
          <w:lang w:eastAsia="zh-CN"/>
          <w14:textFill>
            <w14:solidFill>
              <w14:schemeClr w14:val="tx1"/>
            </w14:solidFill>
          </w14:textFill>
        </w:rPr>
        <w:t>界面</w:t>
      </w:r>
    </w:p>
    <w:p>
      <w:pPr>
        <w:rPr>
          <w:rStyle w:val="17"/>
          <w:rFonts w:hint="eastAsia"/>
          <w:sz w:val="21"/>
          <w:szCs w:val="22"/>
          <w:lang w:val="en-US" w:eastAsia="zh-CN"/>
        </w:rPr>
      </w:pPr>
      <w:r>
        <w:drawing>
          <wp:inline distT="0" distB="0" distL="114300" distR="114300">
            <wp:extent cx="5269230" cy="6231255"/>
            <wp:effectExtent l="9525" t="9525" r="9525" b="22860"/>
            <wp:docPr id="9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31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Style w:val="17"/>
          <w:rFonts w:hint="eastAsia"/>
          <w:sz w:val="21"/>
          <w:szCs w:val="22"/>
          <w:lang w:val="en-US" w:eastAsia="zh-CN"/>
        </w:rPr>
      </w:pPr>
    </w:p>
    <w:p>
      <w:pPr>
        <w:ind w:firstLine="420" w:firstLineChars="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3.   </w:t>
      </w:r>
      <w:r>
        <w:rPr>
          <w:rStyle w:val="17"/>
          <w:rFonts w:hint="eastAsia"/>
          <w:color w:val="000000" w:themeColor="text1"/>
          <w:sz w:val="21"/>
          <w:szCs w:val="22"/>
          <w:lang w:eastAsia="zh-CN"/>
          <w14:textFill>
            <w14:solidFill>
              <w14:schemeClr w14:val="tx1"/>
            </w14:solidFill>
          </w14:textFill>
        </w:rPr>
        <w:t>元素说明</w:t>
      </w:r>
    </w:p>
    <w:tbl>
      <w:tblPr>
        <w:tblStyle w:val="21"/>
        <w:tblW w:w="814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"/>
        <w:gridCol w:w="1209"/>
        <w:gridCol w:w="1440"/>
        <w:gridCol w:w="1468"/>
        <w:gridCol w:w="36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15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lang w:val="e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440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468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61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基本信息</w:t>
            </w: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销售商名称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销售商代码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网点类型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网点代码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渠道类型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【网点类型】=“直销”时显示‘电商’、‘柜台’；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【网点类型】=“代销”时现实‘银行’、‘券商’、‘第三方机构’。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spacing w:line="360" w:lineRule="auto"/>
              <w:jc w:val="left"/>
            </w:pPr>
          </w:p>
        </w:tc>
        <w:tc>
          <w:tcPr>
            <w:tcW w:w="1209" w:type="dxa"/>
            <w:vAlign w:val="center"/>
          </w:tcPr>
          <w:p>
            <w:pPr>
              <w:spacing w:line="360" w:lineRule="auto"/>
              <w:jc w:val="left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ascii="open sans" w:hAnsi="open sans" w:eastAsia="open sans" w:cs="open sans"/>
                <w:i w:val="0"/>
                <w:caps w:val="0"/>
                <w:color w:val="333333"/>
                <w:spacing w:val="0"/>
                <w:sz w:val="15"/>
                <w:szCs w:val="15"/>
                <w:shd w:val="clear" w:fill="FFFFFF"/>
              </w:rPr>
              <w:t>中登结算地点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下拉框；多选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sz w:val="15"/>
                <w:szCs w:val="15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描述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销售商联系人</w:t>
            </w: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部门/岗位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联系人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电话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手机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传真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邮编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0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备注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4"/>
        <w:rPr>
          <w:rStyle w:val="17"/>
          <w:rFonts w:hint="eastAsia"/>
          <w:b/>
          <w:bCs/>
          <w:sz w:val="21"/>
          <w:szCs w:val="22"/>
          <w:lang w:val="en-US" w:eastAsia="zh-CN"/>
        </w:rPr>
      </w:pPr>
      <w:r>
        <w:rPr>
          <w:rStyle w:val="17"/>
          <w:rFonts w:hint="eastAsia"/>
          <w:b/>
          <w:bCs/>
          <w:sz w:val="21"/>
          <w:szCs w:val="22"/>
          <w:lang w:val="en-US" w:eastAsia="zh-CN"/>
        </w:rPr>
        <w:t>销售协议维护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1.   </w:t>
      </w:r>
      <w:r>
        <w:rPr>
          <w:rStyle w:val="17"/>
          <w:rFonts w:hint="eastAsia"/>
          <w:sz w:val="21"/>
          <w:szCs w:val="22"/>
          <w:lang w:eastAsia="zh-CN"/>
        </w:rPr>
        <w:t>操作说明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  <w:lang w:eastAsia="zh-CN"/>
        </w:rPr>
        <w:t>在主界面上方点选一条销售机构信息，联动下方的销售协议，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添加</w:t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，跳转至销售协议维护</w:t>
      </w:r>
      <w:r>
        <w:rPr>
          <w:rFonts w:hint="eastAsia"/>
          <w:lang w:val="en-US" w:eastAsia="zh-CN"/>
        </w:rPr>
        <w:t>界面</w:t>
      </w:r>
      <w:r>
        <w:rPr>
          <w:rFonts w:hint="eastAsia"/>
          <w:lang w:eastAsia="zh-CN"/>
        </w:rPr>
        <w:t>，维护销售协议信息</w:t>
      </w:r>
      <w:r>
        <w:rPr>
          <w:rFonts w:hint="eastAsia" w:ascii="宋体" w:hAnsi="宋体"/>
          <w:sz w:val="21"/>
          <w:lang w:eastAsia="zh-CN"/>
        </w:rPr>
        <w:t>。</w:t>
      </w:r>
    </w:p>
    <w:p>
      <w:pPr>
        <w:pStyle w:val="24"/>
        <w:numPr>
          <w:ilvl w:val="0"/>
          <w:numId w:val="0"/>
        </w:numPr>
        <w:spacing w:line="360" w:lineRule="auto"/>
        <w:ind w:leftChars="200"/>
        <w:rPr>
          <w:rStyle w:val="17"/>
          <w:rFonts w:hint="eastAsia"/>
          <w:b/>
          <w:bCs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2.   </w:t>
      </w:r>
      <w:r>
        <w:rPr>
          <w:rStyle w:val="17"/>
          <w:rFonts w:hint="eastAsia"/>
          <w:b/>
          <w:bCs/>
          <w:sz w:val="21"/>
          <w:szCs w:val="22"/>
          <w:lang w:eastAsia="zh-CN"/>
        </w:rPr>
        <w:t>界面</w:t>
      </w:r>
    </w:p>
    <w:p>
      <w:pPr>
        <w:pStyle w:val="24"/>
        <w:numPr>
          <w:ilvl w:val="0"/>
          <w:numId w:val="0"/>
        </w:numPr>
        <w:spacing w:line="360" w:lineRule="auto"/>
        <w:ind w:firstLine="420" w:firstLineChars="0"/>
        <w:rPr>
          <w:rStyle w:val="17"/>
          <w:rFonts w:hint="eastAsia"/>
          <w:b w:val="0"/>
          <w:bCs w:val="0"/>
          <w:sz w:val="21"/>
          <w:szCs w:val="22"/>
          <w:lang w:eastAsia="zh-CN"/>
        </w:rPr>
      </w:pPr>
      <w:r>
        <w:rPr>
          <w:rStyle w:val="17"/>
          <w:rFonts w:hint="eastAsia"/>
          <w:b w:val="0"/>
          <w:bCs w:val="0"/>
          <w:sz w:val="21"/>
          <w:szCs w:val="22"/>
          <w:lang w:val="en-US" w:eastAsia="zh-CN"/>
        </w:rPr>
        <w:tab/>
      </w:r>
      <w:r>
        <w:rPr>
          <w:rStyle w:val="17"/>
          <w:rFonts w:hint="eastAsia"/>
          <w:b w:val="0"/>
          <w:bCs w:val="0"/>
          <w:sz w:val="21"/>
          <w:szCs w:val="22"/>
          <w:lang w:val="en-US" w:eastAsia="zh-CN"/>
        </w:rPr>
        <w:t xml:space="preserve"> </w:t>
      </w:r>
      <w:r>
        <w:rPr>
          <w:rStyle w:val="17"/>
          <w:rFonts w:hint="eastAsia"/>
          <w:b w:val="0"/>
          <w:bCs w:val="0"/>
          <w:sz w:val="21"/>
          <w:szCs w:val="22"/>
          <w:lang w:eastAsia="zh-CN"/>
        </w:rPr>
        <w:t>选中销售机构，点击“添加 ”，设置界面自动加载“销售商名称”“销售商代码”；</w:t>
      </w:r>
    </w:p>
    <w:p>
      <w:pPr>
        <w:pStyle w:val="24"/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1135" cy="7118985"/>
            <wp:effectExtent l="9525" t="9525" r="22860" b="19050"/>
            <wp:docPr id="9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18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line="360" w:lineRule="auto"/>
        <w:ind w:leftChars="20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2.   </w:t>
      </w:r>
      <w:r>
        <w:rPr>
          <w:rStyle w:val="17"/>
          <w:rFonts w:hint="eastAsia"/>
          <w:sz w:val="21"/>
          <w:szCs w:val="22"/>
          <w:lang w:eastAsia="zh-CN"/>
        </w:rPr>
        <w:t>元素说明</w:t>
      </w:r>
    </w:p>
    <w:tbl>
      <w:tblPr>
        <w:tblStyle w:val="21"/>
        <w:tblW w:w="814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"/>
        <w:gridCol w:w="1080"/>
        <w:gridCol w:w="1569"/>
        <w:gridCol w:w="1468"/>
        <w:gridCol w:w="36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lang w:val="e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468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61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基本信息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销售商名称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销售商代码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协议名称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产品销售范围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下拉框；多选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1-公募（自建TA）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2-公募（中登TA）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3-专户（自建TA）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4-专户（中登TA）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5-特定产品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spacing w:line="360" w:lineRule="auto"/>
              <w:jc w:val="left"/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签订日期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sz w:val="15"/>
                <w:szCs w:val="15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注销日期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费用成分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费用类型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1-认购费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2-前端申购费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3-赎回费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4-销售服务费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5-基金转换转出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6-基金转换转入申购补差费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7-业绩报酬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甲方分成（%）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数字；保留两位小数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乙方分成（%）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数字；保留两位小数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计算公式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406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销售服务费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付费频率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选项：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1-月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2-季</w:t>
            </w:r>
          </w:p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3-年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支付条款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4" w:hRule="atLeast"/>
          <w:jc w:val="center"/>
        </w:trPr>
        <w:tc>
          <w:tcPr>
            <w:tcW w:w="406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客户维护费</w:t>
            </w: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管理费分成比例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9" w:hRule="atLeast"/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结算日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06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08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客户维护费条款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gridSpan w:val="2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优惠信息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24"/>
        <w:numPr>
          <w:ilvl w:val="0"/>
          <w:numId w:val="0"/>
        </w:numPr>
        <w:spacing w:line="360" w:lineRule="auto"/>
        <w:ind w:leftChars="20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3.   </w:t>
      </w:r>
      <w:r>
        <w:rPr>
          <w:rStyle w:val="17"/>
          <w:rFonts w:hint="eastAsia"/>
          <w:color w:val="FF0000"/>
          <w:sz w:val="21"/>
          <w:szCs w:val="22"/>
          <w:lang w:eastAsia="zh-CN"/>
        </w:rPr>
        <w:t>“注销”功能</w:t>
      </w:r>
    </w:p>
    <w:p>
      <w:pPr>
        <w:pStyle w:val="24"/>
        <w:numPr>
          <w:ilvl w:val="0"/>
          <w:numId w:val="0"/>
        </w:numPr>
        <w:spacing w:line="360" w:lineRule="auto"/>
        <w:ind w:leftChars="200"/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Style w:val="17"/>
          <w:rFonts w:hint="eastAsia"/>
          <w:b/>
          <w:bCs/>
          <w:sz w:val="21"/>
          <w:szCs w:val="22"/>
          <w:lang w:val="en-US" w:eastAsia="zh-CN"/>
        </w:rPr>
        <w:t>产品绑定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1.   </w:t>
      </w:r>
      <w:r>
        <w:rPr>
          <w:rStyle w:val="17"/>
          <w:rFonts w:hint="eastAsia"/>
          <w:sz w:val="21"/>
          <w:szCs w:val="22"/>
          <w:lang w:eastAsia="zh-CN"/>
        </w:rPr>
        <w:t>操作说明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  <w:lang w:eastAsia="zh-CN"/>
        </w:rPr>
        <w:t>在主界面上方点选一条销售机构信息，联动下方的产品绑定，</w:t>
      </w:r>
      <w:r>
        <w:rPr>
          <w:rFonts w:hint="eastAsia"/>
        </w:rPr>
        <w:t>点击</w:t>
      </w:r>
      <w:r>
        <w:drawing>
          <wp:inline distT="0" distB="0" distL="114300" distR="114300">
            <wp:extent cx="510540" cy="259080"/>
            <wp:effectExtent l="0" t="0" r="7620" b="0"/>
            <wp:docPr id="8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，跳转至产品绑定</w:t>
      </w:r>
      <w:r>
        <w:rPr>
          <w:rFonts w:hint="eastAsia"/>
          <w:lang w:val="en-US" w:eastAsia="zh-CN"/>
        </w:rPr>
        <w:t>界面</w:t>
      </w:r>
      <w:r>
        <w:rPr>
          <w:rFonts w:hint="eastAsia"/>
          <w:lang w:eastAsia="zh-CN"/>
        </w:rPr>
        <w:t>；或者不选择销售机构，直接点击</w:t>
      </w:r>
      <w:r>
        <w:drawing>
          <wp:inline distT="0" distB="0" distL="114300" distR="114300">
            <wp:extent cx="510540" cy="259080"/>
            <wp:effectExtent l="0" t="0" r="7620" b="0"/>
            <wp:docPr id="8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按钮，绑定产品</w:t>
      </w:r>
      <w:r>
        <w:rPr>
          <w:rFonts w:hint="eastAsia" w:ascii="宋体" w:hAnsi="宋体"/>
          <w:sz w:val="21"/>
          <w:lang w:eastAsia="zh-CN"/>
        </w:rPr>
        <w:t>。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2.   绑定</w:t>
      </w:r>
      <w:r>
        <w:rPr>
          <w:rStyle w:val="17"/>
          <w:rFonts w:hint="eastAsia"/>
          <w:sz w:val="21"/>
          <w:szCs w:val="22"/>
          <w:lang w:eastAsia="zh-CN"/>
        </w:rPr>
        <w:t>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 xml:space="preserve"> 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val="en-US" w:eastAsia="zh-CN"/>
        </w:rPr>
        <w:t xml:space="preserve"> </w:t>
      </w:r>
      <w:r>
        <w:rPr>
          <w:rFonts w:hint="eastAsia" w:ascii="宋体" w:hAnsi="宋体"/>
          <w:sz w:val="21"/>
          <w:lang w:eastAsia="zh-CN"/>
        </w:rPr>
        <w:t>选中销售机构，点击“选择”，进入设置界面，界面加载已选中的销售机构，选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eastAsia="zh-CN"/>
        </w:rPr>
        <w:t>择“协议名称”，勾选产品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drawing>
          <wp:inline distT="0" distB="0" distL="114300" distR="114300">
            <wp:extent cx="5269230" cy="3487420"/>
            <wp:effectExtent l="9525" t="9525" r="9525" b="23495"/>
            <wp:docPr id="9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74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3.   </w:t>
      </w:r>
      <w:r>
        <w:rPr>
          <w:rStyle w:val="17"/>
          <w:rFonts w:hint="eastAsia"/>
          <w:color w:val="FF0000"/>
          <w:sz w:val="21"/>
          <w:szCs w:val="22"/>
          <w:lang w:val="en-US" w:eastAsia="zh-CN"/>
        </w:rPr>
        <w:t>查看详情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“查看详情”的功能展示：销售机构、销售协议内容、产品之间的关联信息，只读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957445"/>
            <wp:effectExtent l="9525" t="9525" r="10160" b="16510"/>
            <wp:docPr id="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57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Style w:val="17"/>
          <w:rFonts w:hint="eastAsia"/>
          <w:b/>
          <w:bCs/>
          <w:sz w:val="21"/>
          <w:szCs w:val="22"/>
          <w:lang w:val="en-US" w:eastAsia="zh-CN"/>
        </w:rPr>
      </w:pPr>
      <w:r>
        <w:rPr>
          <w:rStyle w:val="17"/>
          <w:rFonts w:hint="eastAsia"/>
          <w:b/>
          <w:bCs/>
          <w:sz w:val="21"/>
          <w:szCs w:val="22"/>
          <w:lang w:val="en-US" w:eastAsia="zh-CN"/>
        </w:rPr>
        <w:t>接口参数维护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Style w:val="17"/>
          <w:rFonts w:hint="eastAsia"/>
          <w:color w:val="000000" w:themeColor="text1"/>
          <w:sz w:val="21"/>
          <w:szCs w:val="22"/>
          <w:lang w:eastAsia="zh-CN"/>
          <w14:textFill>
            <w14:solidFill>
              <w14:schemeClr w14:val="tx1"/>
            </w14:solidFill>
          </w14:textFill>
        </w:rPr>
      </w:pPr>
      <w:r>
        <w:rPr>
          <w:rStyle w:val="17"/>
          <w:rFonts w:hint="eastAsia"/>
          <w:color w:val="000000" w:themeColor="text1"/>
          <w:sz w:val="21"/>
          <w:szCs w:val="22"/>
          <w:lang w:val="en-US" w:eastAsia="zh-CN"/>
          <w14:textFill>
            <w14:solidFill>
              <w14:schemeClr w14:val="tx1"/>
            </w14:solidFill>
          </w14:textFill>
        </w:rPr>
        <w:t xml:space="preserve">1.   </w:t>
      </w:r>
      <w:r>
        <w:rPr>
          <w:rStyle w:val="17"/>
          <w:rFonts w:hint="eastAsia"/>
          <w:color w:val="000000" w:themeColor="text1"/>
          <w:sz w:val="21"/>
          <w:szCs w:val="22"/>
          <w:lang w:eastAsia="zh-CN"/>
          <w14:textFill>
            <w14:solidFill>
              <w14:schemeClr w14:val="tx1"/>
            </w14:solidFill>
          </w14:textFill>
        </w:rPr>
        <w:t>操作说明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  <w:lang w:eastAsia="zh-CN"/>
        </w:rPr>
        <w:t>在主界面上方点选一条销售机构信息，联动下方的【接口参数】，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添加</w:t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，跳转至维护接口参数</w:t>
      </w:r>
      <w:r>
        <w:rPr>
          <w:rFonts w:hint="eastAsia"/>
          <w:lang w:val="en-US" w:eastAsia="zh-CN"/>
        </w:rPr>
        <w:t>界面</w:t>
      </w:r>
      <w:r>
        <w:rPr>
          <w:rFonts w:hint="eastAsia"/>
          <w:lang w:eastAsia="zh-CN"/>
        </w:rPr>
        <w:t>，维护接口参数（只可添加一条）</w:t>
      </w:r>
      <w:r>
        <w:rPr>
          <w:rFonts w:hint="eastAsia" w:ascii="宋体" w:hAnsi="宋体"/>
          <w:sz w:val="21"/>
          <w:lang w:eastAsia="zh-CN"/>
        </w:rPr>
        <w:t>。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2.  </w:t>
      </w:r>
      <w:r>
        <w:rPr>
          <w:rStyle w:val="17"/>
          <w:rFonts w:hint="eastAsia"/>
          <w:color w:val="FF0000"/>
          <w:sz w:val="21"/>
          <w:szCs w:val="22"/>
          <w:lang w:val="en-US" w:eastAsia="zh-CN"/>
        </w:rPr>
        <w:t xml:space="preserve"> </w:t>
      </w:r>
      <w:r>
        <w:rPr>
          <w:rStyle w:val="17"/>
          <w:rFonts w:hint="eastAsia"/>
          <w:color w:val="auto"/>
          <w:sz w:val="21"/>
          <w:szCs w:val="22"/>
          <w:lang w:eastAsia="zh-CN"/>
        </w:rPr>
        <w:t>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drawing>
          <wp:inline distT="0" distB="0" distL="114300" distR="114300">
            <wp:extent cx="5271770" cy="2192020"/>
            <wp:effectExtent l="9525" t="9525" r="22225" b="23495"/>
            <wp:docPr id="9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2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Style w:val="17"/>
          <w:rFonts w:hint="eastAsia"/>
          <w:color w:val="auto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3.  </w:t>
      </w:r>
      <w:r>
        <w:rPr>
          <w:rStyle w:val="17"/>
          <w:rFonts w:hint="eastAsia"/>
          <w:color w:val="FF0000"/>
          <w:sz w:val="21"/>
          <w:szCs w:val="22"/>
          <w:lang w:val="en-US" w:eastAsia="zh-CN"/>
        </w:rPr>
        <w:t xml:space="preserve"> </w:t>
      </w:r>
      <w:r>
        <w:rPr>
          <w:rStyle w:val="17"/>
          <w:rFonts w:hint="eastAsia"/>
          <w:color w:val="auto"/>
          <w:sz w:val="21"/>
          <w:szCs w:val="22"/>
          <w:lang w:eastAsia="zh-CN"/>
        </w:rPr>
        <w:t>元素说明</w:t>
      </w:r>
    </w:p>
    <w:tbl>
      <w:tblPr>
        <w:tblStyle w:val="21"/>
        <w:tblW w:w="814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6"/>
        <w:gridCol w:w="1569"/>
        <w:gridCol w:w="1468"/>
        <w:gridCol w:w="36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lang w:val="e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56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468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61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网点名称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根据选中的销售机构自动带入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网点简称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根据选中的销售机构自动带入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网点代码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根据选中的销售机构自动带入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销售商代码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根据选中的销售机构自动带入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是否大集中模式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0-否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br w:type="textWrapping"/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是否支持预分配基金账号</w:t>
            </w:r>
          </w:p>
        </w:tc>
        <w:tc>
          <w:tcPr>
            <w:tcW w:w="1569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1-支持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br w:type="textWrapping"/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2-不支持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是否支持份额分类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1-支持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br w:type="textWrapping"/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2-不支持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是否支持单步转托管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1-支持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br w:type="textWrapping"/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2-不支持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基金转换确认方式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1-一笔确认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br w:type="textWrapping"/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2-两笔确认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是否支持多交易账户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1-支持</w:t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br w:type="textWrapping"/>
            </w:r>
            <w: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  <w:t>2-不支持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接口配置版本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rPr>
                <w:rFonts w:hint="eastAsia" w:asciiTheme="minorHAnsi" w:hAnsiTheme="minorHAnsi" w:eastAsiaTheme="minorEastAsia" w:cstheme="minorBidi"/>
                <w:b w:val="0"/>
                <w:bCs w:val="0"/>
                <w:kern w:val="2"/>
                <w:sz w:val="15"/>
                <w:szCs w:val="15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4" w:hRule="atLeast"/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对帐方式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1-全部对账</w:t>
            </w: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2-变动部分对账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9" w:hRule="atLeast"/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有否份额明细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1-有</w:t>
            </w: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是否支持TA发起业务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0-否</w:t>
            </w: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86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定期定额协议是否上传</w:t>
            </w:r>
          </w:p>
        </w:tc>
        <w:tc>
          <w:tcPr>
            <w:tcW w:w="1569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1-上传</w:t>
            </w: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br w:type="textWrapping"/>
            </w: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2-不上传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Style w:val="17"/>
          <w:rFonts w:hint="eastAsia"/>
          <w:b/>
          <w:bCs/>
          <w:color w:val="FF0000"/>
          <w:sz w:val="21"/>
          <w:szCs w:val="22"/>
          <w:lang w:val="en-US" w:eastAsia="zh-CN"/>
        </w:rPr>
      </w:pPr>
      <w:r>
        <w:rPr>
          <w:rStyle w:val="17"/>
          <w:rFonts w:hint="eastAsia"/>
          <w:b/>
          <w:bCs/>
          <w:color w:val="FF0000"/>
          <w:sz w:val="21"/>
          <w:szCs w:val="22"/>
          <w:lang w:val="en-US" w:eastAsia="zh-CN"/>
        </w:rPr>
        <w:t>销售商账户维护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1.  </w:t>
      </w:r>
      <w:r>
        <w:rPr>
          <w:rStyle w:val="17"/>
          <w:rFonts w:hint="eastAsia"/>
          <w:color w:val="FF0000"/>
          <w:sz w:val="21"/>
          <w:szCs w:val="22"/>
          <w:lang w:val="en-US" w:eastAsia="zh-CN"/>
        </w:rPr>
        <w:t xml:space="preserve"> </w:t>
      </w:r>
      <w:r>
        <w:rPr>
          <w:rStyle w:val="17"/>
          <w:rFonts w:hint="eastAsia"/>
          <w:color w:val="FF0000"/>
          <w:sz w:val="21"/>
          <w:szCs w:val="22"/>
          <w:lang w:eastAsia="zh-CN"/>
        </w:rPr>
        <w:t>操作说明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 w:firstLine="420" w:firstLine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  <w:lang w:eastAsia="zh-CN"/>
        </w:rPr>
        <w:t>在主界面上方点选一条销售机构信息，联动下方的【销售商账户】，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添加</w:t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，跳转至维护销售商账户</w:t>
      </w:r>
      <w:r>
        <w:rPr>
          <w:rFonts w:hint="eastAsia"/>
          <w:lang w:val="en-US" w:eastAsia="zh-CN"/>
        </w:rPr>
        <w:t>界面</w:t>
      </w:r>
      <w:r>
        <w:rPr>
          <w:rFonts w:hint="eastAsia"/>
          <w:lang w:eastAsia="zh-CN"/>
        </w:rPr>
        <w:t>；或者不选择销售机构，直接点击添加按钮，维护销售商账户信息</w:t>
      </w:r>
      <w:r>
        <w:rPr>
          <w:rFonts w:hint="eastAsia" w:ascii="宋体" w:hAnsi="宋体"/>
          <w:sz w:val="21"/>
          <w:lang w:eastAsia="zh-CN"/>
        </w:rPr>
        <w:t>。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Style w:val="17"/>
          <w:rFonts w:hint="eastAsia"/>
          <w:color w:val="auto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 xml:space="preserve">2.  </w:t>
      </w:r>
      <w:r>
        <w:rPr>
          <w:rStyle w:val="17"/>
          <w:rFonts w:hint="eastAsia"/>
          <w:color w:val="FF0000"/>
          <w:sz w:val="21"/>
          <w:szCs w:val="22"/>
          <w:lang w:val="en-US" w:eastAsia="zh-CN"/>
        </w:rPr>
        <w:t xml:space="preserve"> </w:t>
      </w:r>
      <w:r>
        <w:rPr>
          <w:rStyle w:val="17"/>
          <w:rFonts w:hint="eastAsia"/>
          <w:color w:val="auto"/>
          <w:sz w:val="21"/>
          <w:szCs w:val="22"/>
          <w:lang w:eastAsia="zh-CN"/>
        </w:rPr>
        <w:t>界面</w:t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Style w:val="17"/>
          <w:rFonts w:hint="eastAsia"/>
          <w:b w:val="0"/>
          <w:bCs w:val="0"/>
          <w:color w:val="auto"/>
          <w:sz w:val="21"/>
          <w:szCs w:val="22"/>
          <w:lang w:eastAsia="zh-CN"/>
        </w:rPr>
      </w:pPr>
      <w:r>
        <w:rPr>
          <w:rStyle w:val="18"/>
          <w:rFonts w:hint="eastAsia"/>
          <w:b w:val="0"/>
          <w:bCs w:val="0"/>
          <w:sz w:val="21"/>
          <w:szCs w:val="22"/>
          <w:lang w:eastAsia="zh-CN"/>
        </w:rPr>
        <w:t>同【账户</w:t>
      </w:r>
      <w:r>
        <w:rPr>
          <w:rStyle w:val="17"/>
          <w:rFonts w:hint="eastAsia"/>
          <w:b w:val="0"/>
          <w:bCs w:val="0"/>
          <w:color w:val="auto"/>
          <w:sz w:val="21"/>
          <w:szCs w:val="22"/>
          <w:lang w:eastAsia="zh-CN"/>
        </w:rPr>
        <w:fldChar w:fldCharType="begin"/>
      </w:r>
      <w:r>
        <w:rPr>
          <w:rStyle w:val="17"/>
          <w:rFonts w:hint="eastAsia"/>
          <w:b w:val="0"/>
          <w:bCs w:val="0"/>
          <w:color w:val="auto"/>
          <w:sz w:val="21"/>
          <w:szCs w:val="22"/>
          <w:lang w:eastAsia="zh-CN"/>
        </w:rPr>
        <w:instrText xml:space="preserve"> HYPERLINK \l "_账户通用界面（2）" </w:instrText>
      </w:r>
      <w:r>
        <w:rPr>
          <w:rStyle w:val="17"/>
          <w:rFonts w:hint="eastAsia"/>
          <w:b w:val="0"/>
          <w:bCs w:val="0"/>
          <w:color w:val="auto"/>
          <w:sz w:val="21"/>
          <w:szCs w:val="22"/>
          <w:lang w:eastAsia="zh-CN"/>
        </w:rPr>
        <w:fldChar w:fldCharType="separate"/>
      </w:r>
      <w:r>
        <w:rPr>
          <w:rStyle w:val="18"/>
          <w:rFonts w:hint="eastAsia"/>
          <w:b w:val="0"/>
          <w:bCs w:val="0"/>
          <w:sz w:val="21"/>
          <w:szCs w:val="22"/>
          <w:lang w:eastAsia="zh-CN"/>
        </w:rPr>
        <w:t>管理】的“销售机构账户”</w:t>
      </w:r>
      <w:r>
        <w:rPr>
          <w:rStyle w:val="17"/>
          <w:rFonts w:hint="eastAsia"/>
          <w:b w:val="0"/>
          <w:bCs w:val="0"/>
          <w:color w:val="auto"/>
          <w:sz w:val="21"/>
          <w:szCs w:val="22"/>
          <w:lang w:eastAsia="zh-CN"/>
        </w:rPr>
        <w:fldChar w:fldCharType="end"/>
      </w:r>
    </w:p>
    <w:p>
      <w:pPr>
        <w:pStyle w:val="24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right="0" w:rightChars="0"/>
        <w:jc w:val="both"/>
        <w:textAlignment w:val="auto"/>
        <w:outlineLvl w:val="9"/>
        <w:rPr>
          <w:rStyle w:val="17"/>
          <w:rFonts w:hint="eastAsia"/>
          <w:b w:val="0"/>
          <w:bCs w:val="0"/>
          <w:color w:val="auto"/>
          <w:sz w:val="21"/>
          <w:szCs w:val="22"/>
          <w:lang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4720590"/>
            <wp:effectExtent l="9525" t="9525" r="10160" b="9525"/>
            <wp:docPr id="96" name="图片 96" descr="不关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不关联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20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合同信息管理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合同信息主界面</w:t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1.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</w:rPr>
        <w:t>操作说明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val="en-US" w:eastAsia="zh-CN"/>
        </w:rPr>
        <w:t>1)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eastAsia="zh-CN"/>
        </w:rPr>
        <w:t>打开【公共功能】--&gt;点击【合同信息管理】；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2）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eastAsia="zh-CN"/>
        </w:rPr>
        <w:t>系统界面加载【合同信息管理】的主界面；</w:t>
      </w:r>
    </w:p>
    <w:p>
      <w:pPr>
        <w:pStyle w:val="30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right="0" w:right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3）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val="en-US" w:eastAsia="zh-CN"/>
        </w:rPr>
        <w:t>点击相应操作按钮，可以对信息进行新增、修改、复制、删除、审核、反审核、查询的操作；</w:t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2.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  <w:lang w:eastAsia="zh-CN"/>
        </w:rPr>
        <w:t>界面</w:t>
      </w:r>
    </w:p>
    <w:p>
      <w:pPr>
        <w:pStyle w:val="24"/>
        <w:numPr>
          <w:ilvl w:val="0"/>
          <w:numId w:val="0"/>
        </w:numPr>
        <w:spacing w:line="360" w:lineRule="auto"/>
        <w:rPr>
          <w:rStyle w:val="17"/>
          <w:rFonts w:hint="eastAsia"/>
          <w:sz w:val="21"/>
          <w:szCs w:val="22"/>
          <w:lang w:eastAsia="zh-CN"/>
        </w:rPr>
      </w:pPr>
      <w:r>
        <w:drawing>
          <wp:inline distT="0" distB="0" distL="114300" distR="114300">
            <wp:extent cx="5271135" cy="2574290"/>
            <wp:effectExtent l="0" t="0" r="1905" b="1270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rcRect b="200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3.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  <w:lang w:eastAsia="zh-CN"/>
        </w:rPr>
        <w:t>按钮说明</w:t>
      </w:r>
    </w:p>
    <w:p>
      <w:pPr>
        <w:rPr>
          <w:rFonts w:hint="eastAsia"/>
          <w:lang w:val="en-US" w:eastAsia="zh-CN"/>
        </w:rPr>
      </w:pPr>
    </w:p>
    <w:tbl>
      <w:tblPr>
        <w:tblStyle w:val="21"/>
        <w:tblW w:w="7591" w:type="dxa"/>
        <w:jc w:val="center"/>
        <w:tblInd w:w="10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2"/>
        <w:gridCol w:w="58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按钮</w:t>
            </w:r>
          </w:p>
        </w:tc>
        <w:tc>
          <w:tcPr>
            <w:tcW w:w="5859" w:type="dxa"/>
            <w:shd w:val="clear" w:color="auto" w:fill="BDD6EE" w:themeFill="accent1" w:themeFillTint="66"/>
            <w:vAlign w:val="top"/>
          </w:tcPr>
          <w:p>
            <w:pPr>
              <w:pStyle w:val="30"/>
              <w:spacing w:line="360" w:lineRule="auto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spacing w:line="36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</w:t>
            </w:r>
          </w:p>
        </w:tc>
        <w:tc>
          <w:tcPr>
            <w:tcW w:w="5859" w:type="dxa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新增记录，点击后进入“编辑界面”；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修改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1.单选记录，修改信息；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2.已审核数据不可修改；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复制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单选记录，点击“复制”后，用户在复制界面编辑信息；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删除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1.单选/多选记录，进行“删除”操作；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2.只可删除“未审核”的记录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查看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1.“双击”记录，打开查看界面；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2.查看信息时不可编辑；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2.审核后，记录不可修改、删除；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反审核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1.单选/多选记录，进行“反审核”操作；</w:t>
            </w:r>
          </w:p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2.反审核后，可对记录进行修改、删除；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32" w:type="dxa"/>
            <w:vAlign w:val="top"/>
          </w:tcPr>
          <w:p>
            <w:pPr>
              <w:pStyle w:val="30"/>
              <w:spacing w:line="360" w:lineRule="auto"/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auto"/>
                <w:vertAlign w:val="baseline"/>
                <w:lang w:val="en-US" w:eastAsia="zh-CN"/>
              </w:rPr>
              <w:t>查询</w:t>
            </w:r>
          </w:p>
        </w:tc>
        <w:tc>
          <w:tcPr>
            <w:tcW w:w="5859" w:type="dxa"/>
            <w:vAlign w:val="top"/>
          </w:tcPr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1.支持模糊查询；</w:t>
            </w:r>
          </w:p>
          <w:p>
            <w:pPr>
              <w:pStyle w:val="30"/>
              <w:numPr>
                <w:ilvl w:val="0"/>
                <w:numId w:val="0"/>
              </w:numPr>
              <w:spacing w:line="360" w:lineRule="auto"/>
              <w:ind w:leftChars="0"/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2.输入“查询条件”后，点击“查询”，进行查询操作；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合同信息维护</w:t>
      </w:r>
    </w:p>
    <w:p>
      <w:pPr>
        <w:pStyle w:val="24"/>
        <w:numPr>
          <w:numId w:val="0"/>
        </w:numPr>
        <w:spacing w:line="360" w:lineRule="auto"/>
        <w:ind w:left="420" w:leftChars="0"/>
        <w:rPr>
          <w:rStyle w:val="17"/>
          <w:rFonts w:hint="eastAsia"/>
          <w:sz w:val="21"/>
          <w:szCs w:val="22"/>
          <w:lang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1.</w:t>
      </w:r>
      <w:r>
        <w:rPr>
          <w:rStyle w:val="17"/>
          <w:rFonts w:hint="eastAsia"/>
          <w:sz w:val="21"/>
          <w:szCs w:val="22"/>
          <w:lang w:val="en-US" w:eastAsia="zh-CN"/>
        </w:rPr>
        <w:tab/>
      </w:r>
      <w:r>
        <w:rPr>
          <w:rStyle w:val="17"/>
          <w:rFonts w:hint="eastAsia"/>
          <w:sz w:val="21"/>
          <w:szCs w:val="22"/>
          <w:lang w:eastAsia="zh-CN"/>
        </w:rPr>
        <w:t>操作说明</w:t>
      </w:r>
    </w:p>
    <w:p>
      <w:pPr>
        <w:pStyle w:val="3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宋体" w:hAnsi="宋体"/>
          <w:sz w:val="21"/>
          <w:lang w:eastAsia="zh-CN"/>
        </w:rPr>
      </w:pPr>
      <w:r>
        <w:rPr>
          <w:rFonts w:hint="eastAsia"/>
        </w:rPr>
        <w:t>点击</w:t>
      </w:r>
      <w:r>
        <w:drawing>
          <wp:inline distT="0" distB="0" distL="114300" distR="114300">
            <wp:extent cx="510540" cy="220980"/>
            <wp:effectExtent l="0" t="0" r="7620" b="762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22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>
        <w:rPr>
          <w:rFonts w:hint="eastAsia"/>
          <w:lang w:eastAsia="zh-CN"/>
        </w:rPr>
        <w:t>，跳转至</w:t>
      </w:r>
      <w:r>
        <w:rPr>
          <w:rFonts w:hint="eastAsia"/>
          <w:lang w:val="en-US" w:eastAsia="zh-CN"/>
        </w:rPr>
        <w:t>合同</w:t>
      </w:r>
      <w:r>
        <w:rPr>
          <w:rFonts w:hint="eastAsia" w:ascii="宋体" w:hAnsi="宋体"/>
          <w:sz w:val="21"/>
          <w:lang w:eastAsia="zh-CN"/>
        </w:rPr>
        <w:t>信息</w:t>
      </w:r>
      <w:r>
        <w:rPr>
          <w:rFonts w:hint="eastAsia"/>
          <w:lang w:eastAsia="zh-CN"/>
        </w:rPr>
        <w:t>维护</w:t>
      </w:r>
      <w:r>
        <w:rPr>
          <w:rFonts w:hint="eastAsia"/>
          <w:lang w:val="en-US" w:eastAsia="zh-CN"/>
        </w:rPr>
        <w:t>界面，可在维护界面维护合同</w:t>
      </w:r>
      <w:r>
        <w:rPr>
          <w:rFonts w:hint="eastAsia" w:ascii="宋体" w:hAnsi="宋体"/>
          <w:sz w:val="21"/>
          <w:lang w:eastAsia="zh-CN"/>
        </w:rPr>
        <w:t>信息。</w:t>
      </w:r>
    </w:p>
    <w:p>
      <w:pPr>
        <w:pStyle w:val="30"/>
        <w:keepNext w:val="0"/>
        <w:keepLines w:val="0"/>
        <w:pageBreakBefore w:val="0"/>
        <w:widowControl/>
        <w:numPr>
          <w:ilvl w:val="0"/>
          <w:numId w:val="6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选择公募基金类的产品信息，自动加载公募基金的合同信息维护界面</w:t>
      </w:r>
    </w:p>
    <w:p>
      <w:pPr>
        <w:pStyle w:val="3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9230" cy="12277090"/>
            <wp:effectExtent l="9525" t="9525" r="9525" b="12065"/>
            <wp:docPr id="9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77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元素说明</w:t>
      </w:r>
    </w:p>
    <w:tbl>
      <w:tblPr>
        <w:tblStyle w:val="21"/>
        <w:tblW w:w="8225" w:type="dxa"/>
        <w:jc w:val="center"/>
        <w:tblInd w:w="-8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"/>
        <w:gridCol w:w="1256"/>
        <w:gridCol w:w="1471"/>
        <w:gridCol w:w="1468"/>
        <w:gridCol w:w="36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67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lang w:val="e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471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468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61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产品信息</w:t>
            </w: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产品全称</w:t>
            </w:r>
          </w:p>
        </w:tc>
        <w:tc>
          <w:tcPr>
            <w:tcW w:w="1471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  <w:jc w:val="center"/>
        </w:trPr>
        <w:tc>
          <w:tcPr>
            <w:tcW w:w="411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资产代码</w:t>
            </w:r>
          </w:p>
        </w:tc>
        <w:tc>
          <w:tcPr>
            <w:tcW w:w="1471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只读；根据产品全称自动带出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  <w:jc w:val="center"/>
        </w:trPr>
        <w:tc>
          <w:tcPr>
            <w:tcW w:w="411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资产类型</w:t>
            </w:r>
          </w:p>
        </w:tc>
        <w:tc>
          <w:tcPr>
            <w:tcW w:w="1471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只读；根据产品全称自动带出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投资信息</w:t>
            </w: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投资市场</w:t>
            </w:r>
          </w:p>
        </w:tc>
        <w:tc>
          <w:tcPr>
            <w:tcW w:w="1471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下拉框；多选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加载“所属地区”=‘中国’的市场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投资业务</w:t>
            </w:r>
          </w:p>
        </w:tc>
        <w:tc>
          <w:tcPr>
            <w:tcW w:w="1471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下拉框；多选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1.交易所业务；2.银行间业务；3.期货业务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4.场内开基业务；5.ETF申购赎回；6.开放式基金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7.存款类；8.网下申购；9.债券一级市场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10.交易所大宗交易；11.上交所固定收益平台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12.银行间协议转让；13.TA申购赎回业务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14.交易所网下申购询价；15.银行间询价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16.中登基金业务；17.交易所大宗交易询价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证券投资类别</w:t>
            </w:r>
          </w:p>
        </w:tc>
        <w:tc>
          <w:tcPr>
            <w:tcW w:w="1471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下拉框；多选</w:t>
            </w: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1.股票；2.封闭式基金；3.国债；4.企债；5.可转债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6.政策性金融债；7.债券回购；8.优先股转股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9.基金质押；10.企债标准券；11.债转股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12.配债；13.央行票据；14.存款；15.开放式基金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16.非政策性金融债；17.通用配售权证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18.买断式回购；19.投票；20.次级债；21.次级债务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22.认购权证；23.认股权证；24.认购行权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25.认沽行权；26.债券质押；27.股指期货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28.公司债；29.地方债；30.理财产品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31.国债期货；32.项目投资；33.债券认购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34.申购；35.配售；36.配股；37.债券承销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38.债券申购；39.债券申购款；40.债券配号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41.债券增发；42.债券增发款；43.指定登记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44.撤销指定；45.回购登记；46.回购撤销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47.国债标准券；48.债回售；49.优先股</w:t>
            </w:r>
          </w:p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50.协议质押式回购；51.其他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投资比例限制</w:t>
            </w:r>
          </w:p>
        </w:tc>
        <w:tc>
          <w:tcPr>
            <w:tcW w:w="1471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411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费用条款</w:t>
            </w: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管理费</w:t>
            </w:r>
          </w:p>
        </w:tc>
        <w:tc>
          <w:tcPr>
            <w:tcW w:w="1471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业绩报酬</w:t>
            </w:r>
          </w:p>
        </w:tc>
        <w:tc>
          <w:tcPr>
            <w:tcW w:w="1471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4" w:hRule="atLeast"/>
          <w:jc w:val="center"/>
        </w:trPr>
        <w:tc>
          <w:tcPr>
            <w:tcW w:w="411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托管费</w:t>
            </w:r>
          </w:p>
        </w:tc>
        <w:tc>
          <w:tcPr>
            <w:tcW w:w="1471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9" w:hRule="atLeast"/>
          <w:jc w:val="center"/>
        </w:trPr>
        <w:tc>
          <w:tcPr>
            <w:tcW w:w="411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销售服务费</w:t>
            </w:r>
          </w:p>
        </w:tc>
        <w:tc>
          <w:tcPr>
            <w:tcW w:w="1471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销售费用信息</w:t>
            </w: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认购费</w:t>
            </w:r>
          </w:p>
        </w:tc>
        <w:tc>
          <w:tcPr>
            <w:tcW w:w="14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申购费</w:t>
            </w:r>
          </w:p>
        </w:tc>
        <w:tc>
          <w:tcPr>
            <w:tcW w:w="14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赎回费</w:t>
            </w:r>
          </w:p>
        </w:tc>
        <w:tc>
          <w:tcPr>
            <w:tcW w:w="14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其他合同信息</w:t>
            </w: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投顾人信息</w:t>
            </w:r>
          </w:p>
        </w:tc>
        <w:tc>
          <w:tcPr>
            <w:tcW w:w="14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收益分配条款</w:t>
            </w:r>
          </w:p>
        </w:tc>
        <w:tc>
          <w:tcPr>
            <w:tcW w:w="14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开放期条款</w:t>
            </w:r>
          </w:p>
        </w:tc>
        <w:tc>
          <w:tcPr>
            <w:tcW w:w="14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开放期确认规则</w:t>
            </w:r>
          </w:p>
        </w:tc>
        <w:tc>
          <w:tcPr>
            <w:tcW w:w="14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信息披露条款</w:t>
            </w:r>
          </w:p>
        </w:tc>
        <w:tc>
          <w:tcPr>
            <w:tcW w:w="14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业绩比较基准</w:t>
            </w:r>
          </w:p>
        </w:tc>
        <w:tc>
          <w:tcPr>
            <w:tcW w:w="14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备注</w:t>
            </w:r>
          </w:p>
        </w:tc>
        <w:tc>
          <w:tcPr>
            <w:tcW w:w="147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3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/>
          <w:sz w:val="21"/>
          <w:lang w:val="en-US" w:eastAsia="zh-CN"/>
        </w:rPr>
      </w:pPr>
    </w:p>
    <w:p>
      <w:pPr>
        <w:numPr>
          <w:ilvl w:val="0"/>
          <w:numId w:val="65"/>
        </w:numPr>
        <w:ind w:left="0" w:leftChars="0" w:firstLine="420" w:firstLineChars="200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val="en-US" w:eastAsia="zh-CN"/>
        </w:rPr>
        <w:t>选择专户产品类的产品信息，自动加载专户产品的合同信息维护界面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4881225"/>
            <wp:effectExtent l="9525" t="9525" r="10160" b="13970"/>
            <wp:docPr id="9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881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4"/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Style w:val="17"/>
          <w:rFonts w:hint="eastAsia"/>
          <w:sz w:val="21"/>
          <w:szCs w:val="22"/>
          <w:lang w:val="en-US" w:eastAsia="zh-CN"/>
        </w:rPr>
        <w:t>元素</w:t>
      </w:r>
      <w:r>
        <w:rPr>
          <w:rStyle w:val="17"/>
          <w:rFonts w:hint="eastAsia"/>
          <w:sz w:val="21"/>
          <w:szCs w:val="22"/>
          <w:lang w:eastAsia="zh-CN"/>
        </w:rPr>
        <w:t>说明</w:t>
      </w:r>
    </w:p>
    <w:tbl>
      <w:tblPr>
        <w:tblStyle w:val="21"/>
        <w:tblW w:w="8197" w:type="dxa"/>
        <w:jc w:val="center"/>
        <w:tblInd w:w="-5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8"/>
        <w:gridCol w:w="1255"/>
        <w:gridCol w:w="1467"/>
        <w:gridCol w:w="1468"/>
        <w:gridCol w:w="36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43" w:type="dxa"/>
            <w:gridSpan w:val="2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lang w:val="e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/>
              </w:rPr>
              <w:t>元素</w:t>
            </w:r>
          </w:p>
        </w:tc>
        <w:tc>
          <w:tcPr>
            <w:tcW w:w="1467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控件类型</w:t>
            </w:r>
          </w:p>
        </w:tc>
        <w:tc>
          <w:tcPr>
            <w:tcW w:w="1468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 w:eastAsiaTheme="minorEastAsia"/>
                <w:b/>
                <w:bCs/>
                <w:sz w:val="21"/>
                <w:szCs w:val="21"/>
                <w:lang w:val="en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必填项</w:t>
            </w:r>
          </w:p>
        </w:tc>
        <w:tc>
          <w:tcPr>
            <w:tcW w:w="3619" w:type="dxa"/>
            <w:shd w:val="clear" w:color="auto" w:fill="BDD6EE" w:themeFill="accent1" w:themeFillTint="66"/>
            <w:vAlign w:val="top"/>
          </w:tcPr>
          <w:p>
            <w:pPr>
              <w:pStyle w:val="27"/>
              <w:spacing w:line="360" w:lineRule="auto"/>
              <w:jc w:val="center"/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产品信息</w:t>
            </w: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产品全称</w:t>
            </w:r>
          </w:p>
        </w:tc>
        <w:tc>
          <w:tcPr>
            <w:tcW w:w="1467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下拉框；单选</w:t>
            </w: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  <w:t>必填</w:t>
            </w: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  <w:jc w:val="center"/>
        </w:trPr>
        <w:tc>
          <w:tcPr>
            <w:tcW w:w="388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资产代码</w:t>
            </w:r>
          </w:p>
        </w:tc>
        <w:tc>
          <w:tcPr>
            <w:tcW w:w="1467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spacing w:line="360" w:lineRule="auto"/>
              <w:rPr>
                <w:rFonts w:hint="eastAsia"/>
                <w:b w:val="0"/>
                <w:bCs w:val="0"/>
                <w:sz w:val="15"/>
                <w:szCs w:val="15"/>
                <w:lang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spacing w:line="360" w:lineRule="auto"/>
              <w:jc w:val="left"/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15"/>
                <w:szCs w:val="15"/>
                <w:lang w:val="en-US" w:eastAsia="zh-CN"/>
              </w:rPr>
              <w:t>只读；根据产品全称自动带出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1" w:hRule="atLeast"/>
          <w:jc w:val="center"/>
        </w:trPr>
        <w:tc>
          <w:tcPr>
            <w:tcW w:w="388" w:type="dxa"/>
            <w:vMerge w:val="continue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资产类型</w:t>
            </w:r>
          </w:p>
        </w:tc>
        <w:tc>
          <w:tcPr>
            <w:tcW w:w="146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只读；根据产品全称自动带出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投资信息</w:t>
            </w: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投资市场</w:t>
            </w:r>
          </w:p>
        </w:tc>
        <w:tc>
          <w:tcPr>
            <w:tcW w:w="1467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下拉框；多选</w:t>
            </w:r>
          </w:p>
        </w:tc>
        <w:tc>
          <w:tcPr>
            <w:tcW w:w="146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加载“所属地区”=‘中国’的市场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投资业务</w:t>
            </w:r>
          </w:p>
        </w:tc>
        <w:tc>
          <w:tcPr>
            <w:tcW w:w="1467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下拉框；多选</w:t>
            </w: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1.交易所业务；2.银行间业务；3.期货业务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4.场内开基业务；5.ETF申购赎回；6.开放式基金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7.存款类；8.网下申购；9.债券一级市场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10.交易所大宗交易；11.上交所固定收益平台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12.银行间协议转让；13.TA申购赎回业务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14.交易所网下申购询价；15.银行间询价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16.中登基金业务；17.交易所大宗交易询价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证券投资类别</w:t>
            </w:r>
          </w:p>
        </w:tc>
        <w:tc>
          <w:tcPr>
            <w:tcW w:w="1467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下拉框；多选</w:t>
            </w: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1.股票；2.封闭式基金；3.国债；4.企债；5.可转债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6.政策性金融债；7.债券回购；8.优先股转股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9.基金质押；10.企债标准券；11.债转股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12.配债；13.央行票据；14.存款；15.开放式基金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16.非政策性金融债；17.通用配售权证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18.买断式回购；19.投票；20.次级债；21.次级债务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22.认购权证；23.认股权证；24.认购行权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25.认沽行权；26.债券质押；27.股指期货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28.公司债；29.地方债；30.理财产品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31.国债期货；32.项目投资；33.债券认购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34.申购；35.配售；36.配股；37.债券承销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38.债券申购；39.债券申购款；40.债券配号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41.债券增发；42.债券增发款；43.指定登记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44.撤销指定；45.回购登记；46.回购撤销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47.国债标准券；48.债回售；49.优先股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50.协议质押式回购；51.其他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投资比例限制</w:t>
            </w:r>
          </w:p>
        </w:tc>
        <w:tc>
          <w:tcPr>
            <w:tcW w:w="1467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388" w:type="dxa"/>
            <w:vMerge w:val="restart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 w:eastAsiaTheme="minorEastAsia"/>
                <w:sz w:val="15"/>
                <w:szCs w:val="15"/>
                <w:lang w:eastAsia="zh-CN"/>
              </w:rPr>
            </w:pPr>
            <w:r>
              <w:rPr>
                <w:rFonts w:hint="eastAsia"/>
                <w:sz w:val="15"/>
                <w:szCs w:val="15"/>
                <w:lang w:eastAsia="zh-CN"/>
              </w:rPr>
              <w:t>费用条款</w:t>
            </w: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管理费</w:t>
            </w:r>
          </w:p>
        </w:tc>
        <w:tc>
          <w:tcPr>
            <w:tcW w:w="1467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业绩报酬</w:t>
            </w:r>
          </w:p>
        </w:tc>
        <w:tc>
          <w:tcPr>
            <w:tcW w:w="1467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4" w:hRule="atLeast"/>
          <w:jc w:val="center"/>
        </w:trPr>
        <w:tc>
          <w:tcPr>
            <w:tcW w:w="388" w:type="dxa"/>
            <w:vMerge w:val="continue"/>
            <w:tcBorders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托管费</w:t>
            </w:r>
          </w:p>
        </w:tc>
        <w:tc>
          <w:tcPr>
            <w:tcW w:w="1467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  <w:jc w:val="center"/>
        </w:trPr>
        <w:tc>
          <w:tcPr>
            <w:tcW w:w="388" w:type="dxa"/>
            <w:vMerge w:val="continue"/>
            <w:tcBorders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sz w:val="15"/>
                <w:szCs w:val="15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销售服务费</w:t>
            </w:r>
          </w:p>
        </w:tc>
        <w:tc>
          <w:tcPr>
            <w:tcW w:w="1467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4" w:hRule="atLeast"/>
          <w:jc w:val="center"/>
        </w:trPr>
        <w:tc>
          <w:tcPr>
            <w:tcW w:w="388" w:type="dxa"/>
            <w:vMerge w:val="continue"/>
            <w:tcBorders/>
          </w:tcPr>
          <w:p>
            <w:pPr>
              <w:spacing w:line="360" w:lineRule="auto"/>
              <w:jc w:val="left"/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投资顾问费</w:t>
            </w:r>
          </w:p>
        </w:tc>
        <w:tc>
          <w:tcPr>
            <w:tcW w:w="146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销售费用信息</w:t>
            </w: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参与费</w:t>
            </w:r>
          </w:p>
        </w:tc>
        <w:tc>
          <w:tcPr>
            <w:tcW w:w="146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退出费</w:t>
            </w:r>
          </w:p>
        </w:tc>
        <w:tc>
          <w:tcPr>
            <w:tcW w:w="146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浮动销售服务费</w:t>
            </w:r>
          </w:p>
        </w:tc>
        <w:tc>
          <w:tcPr>
            <w:tcW w:w="146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restart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其他合同信息</w:t>
            </w: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投顾人信息</w:t>
            </w:r>
          </w:p>
        </w:tc>
        <w:tc>
          <w:tcPr>
            <w:tcW w:w="146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收益分配条款</w:t>
            </w:r>
          </w:p>
        </w:tc>
        <w:tc>
          <w:tcPr>
            <w:tcW w:w="146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开放期条款</w:t>
            </w:r>
          </w:p>
        </w:tc>
        <w:tc>
          <w:tcPr>
            <w:tcW w:w="146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开放期确认规则</w:t>
            </w:r>
          </w:p>
        </w:tc>
        <w:tc>
          <w:tcPr>
            <w:tcW w:w="146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信息披露条款</w:t>
            </w:r>
          </w:p>
        </w:tc>
        <w:tc>
          <w:tcPr>
            <w:tcW w:w="146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追加提取条款</w:t>
            </w:r>
          </w:p>
        </w:tc>
        <w:tc>
          <w:tcPr>
            <w:tcW w:w="146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业绩比较基准</w:t>
            </w:r>
          </w:p>
        </w:tc>
        <w:tc>
          <w:tcPr>
            <w:tcW w:w="1467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预警止损线</w:t>
            </w:r>
          </w:p>
        </w:tc>
        <w:tc>
          <w:tcPr>
            <w:tcW w:w="1467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估值频率</w:t>
            </w:r>
          </w:p>
        </w:tc>
        <w:tc>
          <w:tcPr>
            <w:tcW w:w="1467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8" w:type="dxa"/>
            <w:vMerge w:val="continue"/>
            <w:tcBorders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25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sz w:val="15"/>
                <w:szCs w:val="15"/>
                <w:lang w:val="en-US" w:eastAsia="zh-CN"/>
              </w:rPr>
              <w:t>备注</w:t>
            </w:r>
          </w:p>
        </w:tc>
        <w:tc>
          <w:tcPr>
            <w:tcW w:w="1467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1468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  <w:tc>
          <w:tcPr>
            <w:tcW w:w="3619" w:type="dxa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left"/>
              <w:textAlignment w:val="center"/>
              <w:rPr>
                <w:rFonts w:hint="eastAsia"/>
                <w:sz w:val="15"/>
                <w:szCs w:val="15"/>
                <w:lang w:val="en-US" w:eastAsia="zh-CN"/>
              </w:rPr>
            </w:pPr>
          </w:p>
        </w:tc>
      </w:tr>
    </w:tbl>
    <w:p>
      <w:pPr>
        <w:pStyle w:val="2"/>
        <w:spacing w:line="360" w:lineRule="auto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提醒管理</w:t>
      </w:r>
    </w:p>
    <w:p>
      <w:pPr>
        <w:pStyle w:val="24"/>
        <w:numPr>
          <w:ilvl w:val="0"/>
          <w:numId w:val="3"/>
        </w:numPr>
        <w:rPr>
          <w:rFonts w:hint="eastAsia"/>
          <w:sz w:val="21"/>
          <w:szCs w:val="22"/>
        </w:rPr>
      </w:pPr>
      <w:r>
        <w:rPr>
          <w:rFonts w:hint="eastAsia"/>
          <w:sz w:val="21"/>
          <w:szCs w:val="22"/>
          <w:lang w:eastAsia="zh-CN"/>
        </w:rPr>
        <w:t>提醒管理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</w:t>
      </w:r>
      <w:bookmarkStart w:id="274" w:name="_GoBack"/>
      <w:bookmarkEnd w:id="274"/>
      <w:r>
        <w:rPr>
          <w:rFonts w:hint="eastAsia"/>
          <w:lang w:val="en-US" w:eastAsia="zh-CN"/>
        </w:rPr>
        <w:t>历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公用提醒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产品提醒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提醒规则管理</w:t>
      </w:r>
    </w:p>
    <w:p>
      <w:pPr>
        <w:pStyle w:val="24"/>
        <w:keepNext w:val="0"/>
        <w:keepLines w:val="0"/>
        <w:pageBreakBefore w:val="0"/>
        <w:widowControl w:val="0"/>
        <w:numPr>
          <w:ilvl w:val="1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890" w:leftChars="0" w:right="0" w:rightChars="0" w:hanging="42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提醒类型管理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Eras Bk BT">
    <w:altName w:val="Verdana"/>
    <w:panose1 w:val="00000000000000000000"/>
    <w:charset w:val="00"/>
    <w:family w:val="swiss"/>
    <w:pitch w:val="default"/>
    <w:sig w:usb0="00000000" w:usb1="00000000" w:usb2="00000000" w:usb3="00000000" w:csb0="0000001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9A0C0D"/>
    <w:multiLevelType w:val="multilevel"/>
    <w:tmpl w:val="1B9A0C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401B188F"/>
    <w:multiLevelType w:val="multilevel"/>
    <w:tmpl w:val="401B188F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A1E82F1"/>
    <w:multiLevelType w:val="singleLevel"/>
    <w:tmpl w:val="5A1E82F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5A1EA61E"/>
    <w:multiLevelType w:val="multilevel"/>
    <w:tmpl w:val="5A1EA61E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5A2138D9"/>
    <w:multiLevelType w:val="singleLevel"/>
    <w:tmpl w:val="5A2138D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A213997"/>
    <w:multiLevelType w:val="singleLevel"/>
    <w:tmpl w:val="5A21399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5A213A4B"/>
    <w:multiLevelType w:val="singleLevel"/>
    <w:tmpl w:val="5A213A4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5A213E3B"/>
    <w:multiLevelType w:val="singleLevel"/>
    <w:tmpl w:val="5A213E3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5A213EA7"/>
    <w:multiLevelType w:val="singleLevel"/>
    <w:tmpl w:val="5A213EA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5A21418C"/>
    <w:multiLevelType w:val="singleLevel"/>
    <w:tmpl w:val="5A21418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5A2248E7"/>
    <w:multiLevelType w:val="singleLevel"/>
    <w:tmpl w:val="5A2248E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5A224C4C"/>
    <w:multiLevelType w:val="singleLevel"/>
    <w:tmpl w:val="5A224C4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5A224D83"/>
    <w:multiLevelType w:val="singleLevel"/>
    <w:tmpl w:val="5A224D8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3">
    <w:nsid w:val="5A25181F"/>
    <w:multiLevelType w:val="singleLevel"/>
    <w:tmpl w:val="5A25181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4">
    <w:nsid w:val="5A251837"/>
    <w:multiLevelType w:val="singleLevel"/>
    <w:tmpl w:val="5A25183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5">
    <w:nsid w:val="5A25184E"/>
    <w:multiLevelType w:val="singleLevel"/>
    <w:tmpl w:val="5A25184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6">
    <w:nsid w:val="5A251866"/>
    <w:multiLevelType w:val="singleLevel"/>
    <w:tmpl w:val="5A25186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7">
    <w:nsid w:val="5A251879"/>
    <w:multiLevelType w:val="singleLevel"/>
    <w:tmpl w:val="5A25187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5A251907"/>
    <w:multiLevelType w:val="singleLevel"/>
    <w:tmpl w:val="5A25190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9">
    <w:nsid w:val="5A25191A"/>
    <w:multiLevelType w:val="singleLevel"/>
    <w:tmpl w:val="5A25191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0">
    <w:nsid w:val="5A25192E"/>
    <w:multiLevelType w:val="singleLevel"/>
    <w:tmpl w:val="5A25192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1">
    <w:nsid w:val="5A251943"/>
    <w:multiLevelType w:val="singleLevel"/>
    <w:tmpl w:val="5A25194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2">
    <w:nsid w:val="5A251959"/>
    <w:multiLevelType w:val="singleLevel"/>
    <w:tmpl w:val="5A25195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3">
    <w:nsid w:val="5A25196C"/>
    <w:multiLevelType w:val="singleLevel"/>
    <w:tmpl w:val="5A25196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>
    <w:nsid w:val="5A252063"/>
    <w:multiLevelType w:val="singleLevel"/>
    <w:tmpl w:val="5A25206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>
    <w:nsid w:val="5A252420"/>
    <w:multiLevelType w:val="singleLevel"/>
    <w:tmpl w:val="5A2524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>
    <w:nsid w:val="5A2539E0"/>
    <w:multiLevelType w:val="singleLevel"/>
    <w:tmpl w:val="5A2539E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5A2539F3"/>
    <w:multiLevelType w:val="singleLevel"/>
    <w:tmpl w:val="5A2539F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8">
    <w:nsid w:val="5A253AB2"/>
    <w:multiLevelType w:val="singleLevel"/>
    <w:tmpl w:val="5A253A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9">
    <w:nsid w:val="5A267FA2"/>
    <w:multiLevelType w:val="singleLevel"/>
    <w:tmpl w:val="5A267FA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0">
    <w:nsid w:val="5A267FBA"/>
    <w:multiLevelType w:val="singleLevel"/>
    <w:tmpl w:val="5A267FB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1">
    <w:nsid w:val="5A2680AC"/>
    <w:multiLevelType w:val="singleLevel"/>
    <w:tmpl w:val="5A2680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2">
    <w:nsid w:val="5A268286"/>
    <w:multiLevelType w:val="singleLevel"/>
    <w:tmpl w:val="5A26828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3">
    <w:nsid w:val="5A2684FC"/>
    <w:multiLevelType w:val="singleLevel"/>
    <w:tmpl w:val="5A2684F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4">
    <w:nsid w:val="5A268509"/>
    <w:multiLevelType w:val="singleLevel"/>
    <w:tmpl w:val="5A26850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5">
    <w:nsid w:val="5A274EEC"/>
    <w:multiLevelType w:val="singleLevel"/>
    <w:tmpl w:val="5A274EE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6">
    <w:nsid w:val="5A274F47"/>
    <w:multiLevelType w:val="singleLevel"/>
    <w:tmpl w:val="5A274F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7">
    <w:nsid w:val="5A2753ED"/>
    <w:multiLevelType w:val="singleLevel"/>
    <w:tmpl w:val="5A2753E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>
    <w:nsid w:val="5A275437"/>
    <w:multiLevelType w:val="singleLevel"/>
    <w:tmpl w:val="5A27543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9">
    <w:nsid w:val="5A275473"/>
    <w:multiLevelType w:val="singleLevel"/>
    <w:tmpl w:val="5A27547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>
    <w:nsid w:val="5A2754AC"/>
    <w:multiLevelType w:val="singleLevel"/>
    <w:tmpl w:val="5A2754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1">
    <w:nsid w:val="5A275689"/>
    <w:multiLevelType w:val="singleLevel"/>
    <w:tmpl w:val="5A27568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2">
    <w:nsid w:val="5A2756C2"/>
    <w:multiLevelType w:val="singleLevel"/>
    <w:tmpl w:val="5A2756C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3">
    <w:nsid w:val="5A2756D1"/>
    <w:multiLevelType w:val="singleLevel"/>
    <w:tmpl w:val="5A2756D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4">
    <w:nsid w:val="5A275A95"/>
    <w:multiLevelType w:val="singleLevel"/>
    <w:tmpl w:val="5A275A9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5">
    <w:nsid w:val="5A275B01"/>
    <w:multiLevelType w:val="singleLevel"/>
    <w:tmpl w:val="5A275B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6">
    <w:nsid w:val="5A275B42"/>
    <w:multiLevelType w:val="singleLevel"/>
    <w:tmpl w:val="5A275B4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7">
    <w:nsid w:val="5A278554"/>
    <w:multiLevelType w:val="singleLevel"/>
    <w:tmpl w:val="5A2785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5A28DD7B"/>
    <w:multiLevelType w:val="singleLevel"/>
    <w:tmpl w:val="5A28DD7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9">
    <w:nsid w:val="5A28DE8E"/>
    <w:multiLevelType w:val="singleLevel"/>
    <w:tmpl w:val="5A28DE8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0">
    <w:nsid w:val="5A28DEDB"/>
    <w:multiLevelType w:val="singleLevel"/>
    <w:tmpl w:val="5A28DED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1">
    <w:nsid w:val="5A28DEEA"/>
    <w:multiLevelType w:val="singleLevel"/>
    <w:tmpl w:val="5A28DEE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2">
    <w:nsid w:val="5A28DF6E"/>
    <w:multiLevelType w:val="singleLevel"/>
    <w:tmpl w:val="5A28DF6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3">
    <w:nsid w:val="5A29323E"/>
    <w:multiLevelType w:val="singleLevel"/>
    <w:tmpl w:val="5A2932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5A2932C8"/>
    <w:multiLevelType w:val="singleLevel"/>
    <w:tmpl w:val="5A2932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5A293DB2"/>
    <w:multiLevelType w:val="singleLevel"/>
    <w:tmpl w:val="5A293DB2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</w:rPr>
    </w:lvl>
  </w:abstractNum>
  <w:abstractNum w:abstractNumId="56">
    <w:nsid w:val="5A293F63"/>
    <w:multiLevelType w:val="singleLevel"/>
    <w:tmpl w:val="5A293F6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7">
    <w:nsid w:val="5A293F94"/>
    <w:multiLevelType w:val="singleLevel"/>
    <w:tmpl w:val="5A293F9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8">
    <w:nsid w:val="5A37339A"/>
    <w:multiLevelType w:val="singleLevel"/>
    <w:tmpl w:val="5A37339A"/>
    <w:lvl w:ilvl="0" w:tentative="0">
      <w:start w:val="1"/>
      <w:numFmt w:val="decimal"/>
      <w:lvlText w:val="%1."/>
      <w:lvlJc w:val="left"/>
    </w:lvl>
  </w:abstractNum>
  <w:abstractNum w:abstractNumId="59">
    <w:nsid w:val="5A3733F4"/>
    <w:multiLevelType w:val="singleLevel"/>
    <w:tmpl w:val="5A3733F4"/>
    <w:lvl w:ilvl="0" w:tentative="0">
      <w:start w:val="1"/>
      <w:numFmt w:val="decimal"/>
      <w:suff w:val="space"/>
      <w:lvlText w:val="%1."/>
      <w:lvlJc w:val="left"/>
    </w:lvl>
  </w:abstractNum>
  <w:abstractNum w:abstractNumId="60">
    <w:nsid w:val="5A373735"/>
    <w:multiLevelType w:val="singleLevel"/>
    <w:tmpl w:val="5A373735"/>
    <w:lvl w:ilvl="0" w:tentative="0">
      <w:start w:val="1"/>
      <w:numFmt w:val="decimal"/>
      <w:suff w:val="space"/>
      <w:lvlText w:val="%1."/>
      <w:lvlJc w:val="left"/>
    </w:lvl>
  </w:abstractNum>
  <w:abstractNum w:abstractNumId="61">
    <w:nsid w:val="5A377EDF"/>
    <w:multiLevelType w:val="singleLevel"/>
    <w:tmpl w:val="5A377EDF"/>
    <w:lvl w:ilvl="0" w:tentative="0">
      <w:start w:val="1"/>
      <w:numFmt w:val="decimal"/>
      <w:suff w:val="space"/>
      <w:lvlText w:val="%1）"/>
      <w:lvlJc w:val="left"/>
    </w:lvl>
  </w:abstractNum>
  <w:abstractNum w:abstractNumId="62">
    <w:nsid w:val="5A4DC89E"/>
    <w:multiLevelType w:val="singleLevel"/>
    <w:tmpl w:val="5A4DC89E"/>
    <w:lvl w:ilvl="0" w:tentative="0">
      <w:start w:val="1"/>
      <w:numFmt w:val="decimal"/>
      <w:suff w:val="nothing"/>
      <w:lvlText w:val="%1）"/>
      <w:lvlJc w:val="left"/>
    </w:lvl>
  </w:abstractNum>
  <w:abstractNum w:abstractNumId="63">
    <w:nsid w:val="69DF4E0D"/>
    <w:multiLevelType w:val="multilevel"/>
    <w:tmpl w:val="69DF4E0D"/>
    <w:lvl w:ilvl="0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4">
    <w:nsid w:val="71046B7D"/>
    <w:multiLevelType w:val="multilevel"/>
    <w:tmpl w:val="71046B7D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4"/>
  </w:num>
  <w:num w:numId="5">
    <w:abstractNumId w:val="24"/>
  </w:num>
  <w:num w:numId="6">
    <w:abstractNumId w:val="25"/>
  </w:num>
  <w:num w:numId="7">
    <w:abstractNumId w:val="55"/>
  </w:num>
  <w:num w:numId="8">
    <w:abstractNumId w:val="28"/>
  </w:num>
  <w:num w:numId="9">
    <w:abstractNumId w:val="26"/>
  </w:num>
  <w:num w:numId="10">
    <w:abstractNumId w:val="27"/>
  </w:num>
  <w:num w:numId="11">
    <w:abstractNumId w:val="31"/>
  </w:num>
  <w:num w:numId="12">
    <w:abstractNumId w:val="30"/>
  </w:num>
  <w:num w:numId="13">
    <w:abstractNumId w:val="29"/>
  </w:num>
  <w:num w:numId="14">
    <w:abstractNumId w:val="32"/>
  </w:num>
  <w:num w:numId="15">
    <w:abstractNumId w:val="5"/>
  </w:num>
  <w:num w:numId="16">
    <w:abstractNumId w:val="63"/>
  </w:num>
  <w:num w:numId="17">
    <w:abstractNumId w:val="1"/>
  </w:num>
  <w:num w:numId="18">
    <w:abstractNumId w:val="6"/>
  </w:num>
  <w:num w:numId="19">
    <w:abstractNumId w:val="2"/>
  </w:num>
  <w:num w:numId="20">
    <w:abstractNumId w:val="7"/>
  </w:num>
  <w:num w:numId="21">
    <w:abstractNumId w:val="8"/>
  </w:num>
  <w:num w:numId="22">
    <w:abstractNumId w:val="9"/>
  </w:num>
  <w:num w:numId="23">
    <w:abstractNumId w:val="10"/>
  </w:num>
  <w:num w:numId="24">
    <w:abstractNumId w:val="11"/>
  </w:num>
  <w:num w:numId="25">
    <w:abstractNumId w:val="12"/>
  </w:num>
  <w:num w:numId="26">
    <w:abstractNumId w:val="13"/>
  </w:num>
  <w:num w:numId="27">
    <w:abstractNumId w:val="14"/>
  </w:num>
  <w:num w:numId="28">
    <w:abstractNumId w:val="15"/>
  </w:num>
  <w:num w:numId="29">
    <w:abstractNumId w:val="16"/>
  </w:num>
  <w:num w:numId="30">
    <w:abstractNumId w:val="17"/>
  </w:num>
  <w:num w:numId="31">
    <w:abstractNumId w:val="18"/>
  </w:num>
  <w:num w:numId="32">
    <w:abstractNumId w:val="19"/>
  </w:num>
  <w:num w:numId="33">
    <w:abstractNumId w:val="20"/>
  </w:num>
  <w:num w:numId="34">
    <w:abstractNumId w:val="21"/>
  </w:num>
  <w:num w:numId="35">
    <w:abstractNumId w:val="22"/>
  </w:num>
  <w:num w:numId="36">
    <w:abstractNumId w:val="23"/>
  </w:num>
  <w:num w:numId="37">
    <w:abstractNumId w:val="33"/>
  </w:num>
  <w:num w:numId="38">
    <w:abstractNumId w:val="34"/>
  </w:num>
  <w:num w:numId="39">
    <w:abstractNumId w:val="47"/>
  </w:num>
  <w:num w:numId="40">
    <w:abstractNumId w:val="35"/>
  </w:num>
  <w:num w:numId="41">
    <w:abstractNumId w:val="36"/>
  </w:num>
  <w:num w:numId="42">
    <w:abstractNumId w:val="37"/>
  </w:num>
  <w:num w:numId="43">
    <w:abstractNumId w:val="53"/>
  </w:num>
  <w:num w:numId="44">
    <w:abstractNumId w:val="54"/>
  </w:num>
  <w:num w:numId="45">
    <w:abstractNumId w:val="38"/>
  </w:num>
  <w:num w:numId="46">
    <w:abstractNumId w:val="56"/>
  </w:num>
  <w:num w:numId="47">
    <w:abstractNumId w:val="39"/>
  </w:num>
  <w:num w:numId="48">
    <w:abstractNumId w:val="40"/>
  </w:num>
  <w:num w:numId="49">
    <w:abstractNumId w:val="57"/>
  </w:num>
  <w:num w:numId="50">
    <w:abstractNumId w:val="41"/>
  </w:num>
  <w:num w:numId="51">
    <w:abstractNumId w:val="42"/>
  </w:num>
  <w:num w:numId="52">
    <w:abstractNumId w:val="43"/>
  </w:num>
  <w:num w:numId="53">
    <w:abstractNumId w:val="44"/>
  </w:num>
  <w:num w:numId="54">
    <w:abstractNumId w:val="48"/>
  </w:num>
  <w:num w:numId="55">
    <w:abstractNumId w:val="45"/>
  </w:num>
  <w:num w:numId="56">
    <w:abstractNumId w:val="46"/>
  </w:num>
  <w:num w:numId="57">
    <w:abstractNumId w:val="49"/>
  </w:num>
  <w:num w:numId="58">
    <w:abstractNumId w:val="50"/>
  </w:num>
  <w:num w:numId="59">
    <w:abstractNumId w:val="51"/>
  </w:num>
  <w:num w:numId="60">
    <w:abstractNumId w:val="52"/>
  </w:num>
  <w:num w:numId="61">
    <w:abstractNumId w:val="58"/>
  </w:num>
  <w:num w:numId="62">
    <w:abstractNumId w:val="59"/>
  </w:num>
  <w:num w:numId="63">
    <w:abstractNumId w:val="60"/>
  </w:num>
  <w:num w:numId="64">
    <w:abstractNumId w:val="61"/>
  </w:num>
  <w:num w:numId="65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65B"/>
    <w:rsid w:val="0004162C"/>
    <w:rsid w:val="000433EE"/>
    <w:rsid w:val="00047FC4"/>
    <w:rsid w:val="00094798"/>
    <w:rsid w:val="000B6F59"/>
    <w:rsid w:val="0012465B"/>
    <w:rsid w:val="00391EFB"/>
    <w:rsid w:val="003E562D"/>
    <w:rsid w:val="005263A8"/>
    <w:rsid w:val="00821B53"/>
    <w:rsid w:val="00896D94"/>
    <w:rsid w:val="008C70E8"/>
    <w:rsid w:val="00A1645A"/>
    <w:rsid w:val="00A548AD"/>
    <w:rsid w:val="00A97F97"/>
    <w:rsid w:val="00AD5AA8"/>
    <w:rsid w:val="00CD3109"/>
    <w:rsid w:val="00D63A75"/>
    <w:rsid w:val="00F66D72"/>
    <w:rsid w:val="00FE61D5"/>
    <w:rsid w:val="01A519F5"/>
    <w:rsid w:val="025E3387"/>
    <w:rsid w:val="026115F7"/>
    <w:rsid w:val="026A3CBE"/>
    <w:rsid w:val="02F37A49"/>
    <w:rsid w:val="03567933"/>
    <w:rsid w:val="035B38C0"/>
    <w:rsid w:val="035C3A52"/>
    <w:rsid w:val="03616FD1"/>
    <w:rsid w:val="039815BB"/>
    <w:rsid w:val="03AA4D90"/>
    <w:rsid w:val="03B15245"/>
    <w:rsid w:val="03CC7268"/>
    <w:rsid w:val="03D91890"/>
    <w:rsid w:val="04462A2F"/>
    <w:rsid w:val="04652E83"/>
    <w:rsid w:val="051E4291"/>
    <w:rsid w:val="05252890"/>
    <w:rsid w:val="0572511D"/>
    <w:rsid w:val="059B712B"/>
    <w:rsid w:val="06676F72"/>
    <w:rsid w:val="066B3F6F"/>
    <w:rsid w:val="068F4E17"/>
    <w:rsid w:val="07046EBD"/>
    <w:rsid w:val="076A7C75"/>
    <w:rsid w:val="078341D6"/>
    <w:rsid w:val="07CC54C5"/>
    <w:rsid w:val="081D74BB"/>
    <w:rsid w:val="08434542"/>
    <w:rsid w:val="084B47B3"/>
    <w:rsid w:val="087146F7"/>
    <w:rsid w:val="08D96E46"/>
    <w:rsid w:val="08FB08B4"/>
    <w:rsid w:val="09020CBA"/>
    <w:rsid w:val="09C57A45"/>
    <w:rsid w:val="09E60432"/>
    <w:rsid w:val="0A5F6929"/>
    <w:rsid w:val="0A6652B9"/>
    <w:rsid w:val="0AB20B62"/>
    <w:rsid w:val="0AE21EF6"/>
    <w:rsid w:val="0B047810"/>
    <w:rsid w:val="0B5A5D57"/>
    <w:rsid w:val="0BB92AEF"/>
    <w:rsid w:val="0BBB34A3"/>
    <w:rsid w:val="0BEB4725"/>
    <w:rsid w:val="0C053D30"/>
    <w:rsid w:val="0C265DAE"/>
    <w:rsid w:val="0C530EFA"/>
    <w:rsid w:val="0C583FD0"/>
    <w:rsid w:val="0C77655F"/>
    <w:rsid w:val="0C9608E0"/>
    <w:rsid w:val="0D073F65"/>
    <w:rsid w:val="0D2F239F"/>
    <w:rsid w:val="0D65449D"/>
    <w:rsid w:val="0DB14A5E"/>
    <w:rsid w:val="0E0007C8"/>
    <w:rsid w:val="0E114FD3"/>
    <w:rsid w:val="0EF50AFA"/>
    <w:rsid w:val="0F0B4715"/>
    <w:rsid w:val="0F5B4FED"/>
    <w:rsid w:val="0F676244"/>
    <w:rsid w:val="0F6C7BFC"/>
    <w:rsid w:val="0F9C3EA9"/>
    <w:rsid w:val="0FAB40B6"/>
    <w:rsid w:val="0FE11A6B"/>
    <w:rsid w:val="0FF73CF0"/>
    <w:rsid w:val="100D552F"/>
    <w:rsid w:val="104658A7"/>
    <w:rsid w:val="105144D6"/>
    <w:rsid w:val="107C0EFF"/>
    <w:rsid w:val="10F3136B"/>
    <w:rsid w:val="10F449BA"/>
    <w:rsid w:val="11171E38"/>
    <w:rsid w:val="11792D4F"/>
    <w:rsid w:val="11964C48"/>
    <w:rsid w:val="121C411A"/>
    <w:rsid w:val="12AD3CE5"/>
    <w:rsid w:val="12D936A9"/>
    <w:rsid w:val="12F45FE4"/>
    <w:rsid w:val="1310320A"/>
    <w:rsid w:val="13261E9E"/>
    <w:rsid w:val="13307EB2"/>
    <w:rsid w:val="13320468"/>
    <w:rsid w:val="14042994"/>
    <w:rsid w:val="140B7747"/>
    <w:rsid w:val="144025B8"/>
    <w:rsid w:val="147A6113"/>
    <w:rsid w:val="14E407A3"/>
    <w:rsid w:val="156F020A"/>
    <w:rsid w:val="15A402D7"/>
    <w:rsid w:val="15C6587A"/>
    <w:rsid w:val="161872ED"/>
    <w:rsid w:val="165B35A8"/>
    <w:rsid w:val="165D2652"/>
    <w:rsid w:val="16901246"/>
    <w:rsid w:val="171A21BC"/>
    <w:rsid w:val="17B5284C"/>
    <w:rsid w:val="185C7764"/>
    <w:rsid w:val="186427F1"/>
    <w:rsid w:val="18EC4B19"/>
    <w:rsid w:val="18F2758D"/>
    <w:rsid w:val="196F4F24"/>
    <w:rsid w:val="196F5153"/>
    <w:rsid w:val="198C10E1"/>
    <w:rsid w:val="19B73379"/>
    <w:rsid w:val="1A0476A7"/>
    <w:rsid w:val="1A521A5B"/>
    <w:rsid w:val="1A5E6D1F"/>
    <w:rsid w:val="1A932600"/>
    <w:rsid w:val="1ABE5892"/>
    <w:rsid w:val="1ACD7B26"/>
    <w:rsid w:val="1AD32DFB"/>
    <w:rsid w:val="1B2E48E3"/>
    <w:rsid w:val="1B521D6A"/>
    <w:rsid w:val="1BC605C4"/>
    <w:rsid w:val="1C343DD5"/>
    <w:rsid w:val="1C8D0DA0"/>
    <w:rsid w:val="1CCB3C0E"/>
    <w:rsid w:val="1CF20542"/>
    <w:rsid w:val="1CF86FD4"/>
    <w:rsid w:val="1D243CF0"/>
    <w:rsid w:val="1D55291E"/>
    <w:rsid w:val="1DC21F38"/>
    <w:rsid w:val="1DF502C4"/>
    <w:rsid w:val="1E535667"/>
    <w:rsid w:val="1E583653"/>
    <w:rsid w:val="1EB71AE7"/>
    <w:rsid w:val="1F151FA8"/>
    <w:rsid w:val="1F451095"/>
    <w:rsid w:val="1FC03DFB"/>
    <w:rsid w:val="1FFE6F0D"/>
    <w:rsid w:val="20120140"/>
    <w:rsid w:val="20A254D5"/>
    <w:rsid w:val="20C12A36"/>
    <w:rsid w:val="20CB651B"/>
    <w:rsid w:val="210C261C"/>
    <w:rsid w:val="21155335"/>
    <w:rsid w:val="21286174"/>
    <w:rsid w:val="214B16EE"/>
    <w:rsid w:val="22716062"/>
    <w:rsid w:val="22A53931"/>
    <w:rsid w:val="23141682"/>
    <w:rsid w:val="233D44F0"/>
    <w:rsid w:val="23502418"/>
    <w:rsid w:val="2357546F"/>
    <w:rsid w:val="2358394D"/>
    <w:rsid w:val="235D458F"/>
    <w:rsid w:val="2368738D"/>
    <w:rsid w:val="236D74A0"/>
    <w:rsid w:val="24153DB1"/>
    <w:rsid w:val="242E0A7D"/>
    <w:rsid w:val="24385FC1"/>
    <w:rsid w:val="245F38D8"/>
    <w:rsid w:val="24927A8C"/>
    <w:rsid w:val="24BE6D27"/>
    <w:rsid w:val="24C77F37"/>
    <w:rsid w:val="24FB2221"/>
    <w:rsid w:val="25577ABE"/>
    <w:rsid w:val="25870D99"/>
    <w:rsid w:val="25C9017A"/>
    <w:rsid w:val="25D2529B"/>
    <w:rsid w:val="25FD49A5"/>
    <w:rsid w:val="261A24A7"/>
    <w:rsid w:val="263D4E71"/>
    <w:rsid w:val="267440ED"/>
    <w:rsid w:val="26745B9A"/>
    <w:rsid w:val="268B5CD6"/>
    <w:rsid w:val="26C76D52"/>
    <w:rsid w:val="26DD3806"/>
    <w:rsid w:val="272801F7"/>
    <w:rsid w:val="2746537A"/>
    <w:rsid w:val="279843EE"/>
    <w:rsid w:val="279D0B56"/>
    <w:rsid w:val="27C73795"/>
    <w:rsid w:val="27DF558D"/>
    <w:rsid w:val="27F43BE4"/>
    <w:rsid w:val="27FB7754"/>
    <w:rsid w:val="28343C5F"/>
    <w:rsid w:val="28BD6F82"/>
    <w:rsid w:val="2A9C1FA3"/>
    <w:rsid w:val="2ADB4F82"/>
    <w:rsid w:val="2B3E6F84"/>
    <w:rsid w:val="2BB47F8A"/>
    <w:rsid w:val="2BDD25E6"/>
    <w:rsid w:val="2BE55AAE"/>
    <w:rsid w:val="2C062674"/>
    <w:rsid w:val="2C3107A1"/>
    <w:rsid w:val="2C343DA3"/>
    <w:rsid w:val="2C5864FC"/>
    <w:rsid w:val="2C737054"/>
    <w:rsid w:val="2C8F1482"/>
    <w:rsid w:val="2D0B1279"/>
    <w:rsid w:val="2D0F53FE"/>
    <w:rsid w:val="2D7429F0"/>
    <w:rsid w:val="2E0C6749"/>
    <w:rsid w:val="2E571A2E"/>
    <w:rsid w:val="2E6B1912"/>
    <w:rsid w:val="2E8A0FC1"/>
    <w:rsid w:val="2F2D67A3"/>
    <w:rsid w:val="2F354EAE"/>
    <w:rsid w:val="2F3D196A"/>
    <w:rsid w:val="2F514BCC"/>
    <w:rsid w:val="2FB93E9E"/>
    <w:rsid w:val="2FD629C3"/>
    <w:rsid w:val="306671A2"/>
    <w:rsid w:val="31161529"/>
    <w:rsid w:val="317F3040"/>
    <w:rsid w:val="31892412"/>
    <w:rsid w:val="319B3F25"/>
    <w:rsid w:val="31EA5382"/>
    <w:rsid w:val="322302C0"/>
    <w:rsid w:val="323744D8"/>
    <w:rsid w:val="32406A4F"/>
    <w:rsid w:val="3279520A"/>
    <w:rsid w:val="327E2270"/>
    <w:rsid w:val="32A12558"/>
    <w:rsid w:val="32C86F12"/>
    <w:rsid w:val="33330B52"/>
    <w:rsid w:val="33E35B97"/>
    <w:rsid w:val="345646EC"/>
    <w:rsid w:val="34586F85"/>
    <w:rsid w:val="34785C2C"/>
    <w:rsid w:val="35112C5A"/>
    <w:rsid w:val="352F3BB5"/>
    <w:rsid w:val="35A906E6"/>
    <w:rsid w:val="35FF5D56"/>
    <w:rsid w:val="36447515"/>
    <w:rsid w:val="36774AE8"/>
    <w:rsid w:val="36A65D11"/>
    <w:rsid w:val="36DC2038"/>
    <w:rsid w:val="36FC1DF9"/>
    <w:rsid w:val="3758222E"/>
    <w:rsid w:val="378A5B41"/>
    <w:rsid w:val="386B1FDA"/>
    <w:rsid w:val="38AA6F8F"/>
    <w:rsid w:val="3909153F"/>
    <w:rsid w:val="391A1650"/>
    <w:rsid w:val="39BF1ABB"/>
    <w:rsid w:val="3A1B762B"/>
    <w:rsid w:val="3A2E5B90"/>
    <w:rsid w:val="3A5A006E"/>
    <w:rsid w:val="3A6A6208"/>
    <w:rsid w:val="3AA82EA2"/>
    <w:rsid w:val="3AB95B03"/>
    <w:rsid w:val="3ABA2126"/>
    <w:rsid w:val="3B6A634F"/>
    <w:rsid w:val="3B896740"/>
    <w:rsid w:val="3BAD62DC"/>
    <w:rsid w:val="3BD43A03"/>
    <w:rsid w:val="3C051636"/>
    <w:rsid w:val="3C1B61EC"/>
    <w:rsid w:val="3C87496B"/>
    <w:rsid w:val="3CB02939"/>
    <w:rsid w:val="3CD86AB9"/>
    <w:rsid w:val="3CDA5A3D"/>
    <w:rsid w:val="3CEB025C"/>
    <w:rsid w:val="3D851053"/>
    <w:rsid w:val="3D8E2D45"/>
    <w:rsid w:val="3DAC68E1"/>
    <w:rsid w:val="3DBB0BE2"/>
    <w:rsid w:val="3DD32827"/>
    <w:rsid w:val="3DD4140E"/>
    <w:rsid w:val="3E022C73"/>
    <w:rsid w:val="3E621ED9"/>
    <w:rsid w:val="3E8D4EAD"/>
    <w:rsid w:val="3E9F7EC7"/>
    <w:rsid w:val="3EEB09D5"/>
    <w:rsid w:val="3F150303"/>
    <w:rsid w:val="3F6F0C4E"/>
    <w:rsid w:val="3F87189A"/>
    <w:rsid w:val="3FF76011"/>
    <w:rsid w:val="40252C37"/>
    <w:rsid w:val="40400614"/>
    <w:rsid w:val="40560E07"/>
    <w:rsid w:val="40624210"/>
    <w:rsid w:val="4072678A"/>
    <w:rsid w:val="40792035"/>
    <w:rsid w:val="40854652"/>
    <w:rsid w:val="40A53DE7"/>
    <w:rsid w:val="40A638DD"/>
    <w:rsid w:val="416347C5"/>
    <w:rsid w:val="41707D82"/>
    <w:rsid w:val="41765351"/>
    <w:rsid w:val="41A25A71"/>
    <w:rsid w:val="42130043"/>
    <w:rsid w:val="42191810"/>
    <w:rsid w:val="424955A1"/>
    <w:rsid w:val="426C28C9"/>
    <w:rsid w:val="42743C7B"/>
    <w:rsid w:val="42BD001C"/>
    <w:rsid w:val="432E16F5"/>
    <w:rsid w:val="43402F3D"/>
    <w:rsid w:val="43DA4996"/>
    <w:rsid w:val="43F11154"/>
    <w:rsid w:val="43FB2936"/>
    <w:rsid w:val="442165EF"/>
    <w:rsid w:val="44372040"/>
    <w:rsid w:val="450A0F92"/>
    <w:rsid w:val="454A7E4B"/>
    <w:rsid w:val="456A5063"/>
    <w:rsid w:val="45FB358E"/>
    <w:rsid w:val="46005591"/>
    <w:rsid w:val="46417E75"/>
    <w:rsid w:val="46672175"/>
    <w:rsid w:val="46791410"/>
    <w:rsid w:val="468E367B"/>
    <w:rsid w:val="46A753CB"/>
    <w:rsid w:val="46D4410E"/>
    <w:rsid w:val="470C4772"/>
    <w:rsid w:val="47144DD8"/>
    <w:rsid w:val="47775C3D"/>
    <w:rsid w:val="477E6841"/>
    <w:rsid w:val="48033041"/>
    <w:rsid w:val="48775402"/>
    <w:rsid w:val="48EF56BF"/>
    <w:rsid w:val="48F25E84"/>
    <w:rsid w:val="4988612F"/>
    <w:rsid w:val="499A7A84"/>
    <w:rsid w:val="49A22744"/>
    <w:rsid w:val="49E9483D"/>
    <w:rsid w:val="4A0557BB"/>
    <w:rsid w:val="4A841F0C"/>
    <w:rsid w:val="4B7239A6"/>
    <w:rsid w:val="4B7E57FB"/>
    <w:rsid w:val="4BFC00CE"/>
    <w:rsid w:val="4C4A1A9A"/>
    <w:rsid w:val="4C810CA3"/>
    <w:rsid w:val="4C881210"/>
    <w:rsid w:val="4D7559EC"/>
    <w:rsid w:val="4E4F37FB"/>
    <w:rsid w:val="4E6B6EB2"/>
    <w:rsid w:val="4E974706"/>
    <w:rsid w:val="4ED74801"/>
    <w:rsid w:val="4EDD4B4A"/>
    <w:rsid w:val="4EF9755F"/>
    <w:rsid w:val="4F321990"/>
    <w:rsid w:val="4FCA6330"/>
    <w:rsid w:val="4FF37FBA"/>
    <w:rsid w:val="50050C1A"/>
    <w:rsid w:val="502E01A3"/>
    <w:rsid w:val="50382309"/>
    <w:rsid w:val="50B251D7"/>
    <w:rsid w:val="5100651D"/>
    <w:rsid w:val="51221074"/>
    <w:rsid w:val="512A510E"/>
    <w:rsid w:val="520937CB"/>
    <w:rsid w:val="52CE7549"/>
    <w:rsid w:val="534A2837"/>
    <w:rsid w:val="539321BE"/>
    <w:rsid w:val="53D75DA2"/>
    <w:rsid w:val="53E45103"/>
    <w:rsid w:val="541B468B"/>
    <w:rsid w:val="547A3725"/>
    <w:rsid w:val="54A15BC5"/>
    <w:rsid w:val="54BE49BC"/>
    <w:rsid w:val="55051B28"/>
    <w:rsid w:val="553A3249"/>
    <w:rsid w:val="55806439"/>
    <w:rsid w:val="55A11416"/>
    <w:rsid w:val="55A606E3"/>
    <w:rsid w:val="55B148FB"/>
    <w:rsid w:val="55F10D6B"/>
    <w:rsid w:val="56127A36"/>
    <w:rsid w:val="56146DB3"/>
    <w:rsid w:val="574101B4"/>
    <w:rsid w:val="575A3C1E"/>
    <w:rsid w:val="576D75C1"/>
    <w:rsid w:val="57D40F89"/>
    <w:rsid w:val="581340AF"/>
    <w:rsid w:val="58307BBA"/>
    <w:rsid w:val="586E68D4"/>
    <w:rsid w:val="58AE06B5"/>
    <w:rsid w:val="59352A48"/>
    <w:rsid w:val="59863766"/>
    <w:rsid w:val="59F07F8E"/>
    <w:rsid w:val="5A10556C"/>
    <w:rsid w:val="5A85266E"/>
    <w:rsid w:val="5AE2700F"/>
    <w:rsid w:val="5AE51242"/>
    <w:rsid w:val="5AF55AC5"/>
    <w:rsid w:val="5B1E5E13"/>
    <w:rsid w:val="5B712E6C"/>
    <w:rsid w:val="5C3D3B72"/>
    <w:rsid w:val="5CAC1C01"/>
    <w:rsid w:val="5CB646BB"/>
    <w:rsid w:val="5CC36656"/>
    <w:rsid w:val="5D0826BD"/>
    <w:rsid w:val="5DC47D5F"/>
    <w:rsid w:val="5DF70663"/>
    <w:rsid w:val="5E8B2FC1"/>
    <w:rsid w:val="5EA66880"/>
    <w:rsid w:val="5EED31E8"/>
    <w:rsid w:val="5EFA4E74"/>
    <w:rsid w:val="5F3F09EC"/>
    <w:rsid w:val="5F5D41CF"/>
    <w:rsid w:val="5F647121"/>
    <w:rsid w:val="5F6F2B40"/>
    <w:rsid w:val="5F8F4F93"/>
    <w:rsid w:val="5FA355C1"/>
    <w:rsid w:val="60254A6F"/>
    <w:rsid w:val="6036086D"/>
    <w:rsid w:val="605149E3"/>
    <w:rsid w:val="60897B75"/>
    <w:rsid w:val="60C80E5A"/>
    <w:rsid w:val="60CB5F14"/>
    <w:rsid w:val="60F128EF"/>
    <w:rsid w:val="60FC425C"/>
    <w:rsid w:val="612C7B1C"/>
    <w:rsid w:val="6212624A"/>
    <w:rsid w:val="623E494F"/>
    <w:rsid w:val="62440F48"/>
    <w:rsid w:val="627132A9"/>
    <w:rsid w:val="63230EA2"/>
    <w:rsid w:val="63A818B8"/>
    <w:rsid w:val="63B5620B"/>
    <w:rsid w:val="63BA7A60"/>
    <w:rsid w:val="63F978E7"/>
    <w:rsid w:val="64263FB7"/>
    <w:rsid w:val="64416E1A"/>
    <w:rsid w:val="644709AB"/>
    <w:rsid w:val="645246A6"/>
    <w:rsid w:val="6466741C"/>
    <w:rsid w:val="648D58B7"/>
    <w:rsid w:val="653346F2"/>
    <w:rsid w:val="654405BF"/>
    <w:rsid w:val="65BD06A2"/>
    <w:rsid w:val="660936C0"/>
    <w:rsid w:val="66217500"/>
    <w:rsid w:val="664D03A7"/>
    <w:rsid w:val="665F7EDE"/>
    <w:rsid w:val="670228E6"/>
    <w:rsid w:val="67192D3F"/>
    <w:rsid w:val="672523D5"/>
    <w:rsid w:val="68C82049"/>
    <w:rsid w:val="68E60004"/>
    <w:rsid w:val="68F56700"/>
    <w:rsid w:val="68F975F3"/>
    <w:rsid w:val="690020D2"/>
    <w:rsid w:val="690500AE"/>
    <w:rsid w:val="692D52D4"/>
    <w:rsid w:val="693A323E"/>
    <w:rsid w:val="693D1BC1"/>
    <w:rsid w:val="697E2DB2"/>
    <w:rsid w:val="699D107A"/>
    <w:rsid w:val="69B71A7F"/>
    <w:rsid w:val="6A081AD5"/>
    <w:rsid w:val="6A7844A7"/>
    <w:rsid w:val="6AD6160A"/>
    <w:rsid w:val="6B8664DC"/>
    <w:rsid w:val="6BF65F49"/>
    <w:rsid w:val="6C1154B8"/>
    <w:rsid w:val="6C286721"/>
    <w:rsid w:val="6C7A43EF"/>
    <w:rsid w:val="6C8F547D"/>
    <w:rsid w:val="6CC85248"/>
    <w:rsid w:val="6D4A52F4"/>
    <w:rsid w:val="6D4E4546"/>
    <w:rsid w:val="6D6637DE"/>
    <w:rsid w:val="6D7B2113"/>
    <w:rsid w:val="6D837565"/>
    <w:rsid w:val="6D886A71"/>
    <w:rsid w:val="6DFA01B7"/>
    <w:rsid w:val="6E11403E"/>
    <w:rsid w:val="6EC4390A"/>
    <w:rsid w:val="6EE145BA"/>
    <w:rsid w:val="6F882C46"/>
    <w:rsid w:val="6FA30964"/>
    <w:rsid w:val="70356D24"/>
    <w:rsid w:val="704E676C"/>
    <w:rsid w:val="70643E06"/>
    <w:rsid w:val="70A06809"/>
    <w:rsid w:val="71041BCB"/>
    <w:rsid w:val="710B530E"/>
    <w:rsid w:val="71183C69"/>
    <w:rsid w:val="712103AF"/>
    <w:rsid w:val="71380986"/>
    <w:rsid w:val="714B4AF6"/>
    <w:rsid w:val="715838B7"/>
    <w:rsid w:val="71644D26"/>
    <w:rsid w:val="71873003"/>
    <w:rsid w:val="71B95116"/>
    <w:rsid w:val="71F50471"/>
    <w:rsid w:val="721F3672"/>
    <w:rsid w:val="72243601"/>
    <w:rsid w:val="724E1700"/>
    <w:rsid w:val="72667059"/>
    <w:rsid w:val="72C2405A"/>
    <w:rsid w:val="72E00C2B"/>
    <w:rsid w:val="73450579"/>
    <w:rsid w:val="73A60C89"/>
    <w:rsid w:val="744F7C6C"/>
    <w:rsid w:val="74EB3B60"/>
    <w:rsid w:val="75165DB8"/>
    <w:rsid w:val="75314677"/>
    <w:rsid w:val="753A1FA1"/>
    <w:rsid w:val="756A2A92"/>
    <w:rsid w:val="760E211E"/>
    <w:rsid w:val="766067FE"/>
    <w:rsid w:val="770D1360"/>
    <w:rsid w:val="770F10F1"/>
    <w:rsid w:val="771A7FC8"/>
    <w:rsid w:val="773539BC"/>
    <w:rsid w:val="77FC0EA8"/>
    <w:rsid w:val="78380A32"/>
    <w:rsid w:val="785C4BA5"/>
    <w:rsid w:val="78C320FA"/>
    <w:rsid w:val="7911660C"/>
    <w:rsid w:val="79944CF1"/>
    <w:rsid w:val="7A393668"/>
    <w:rsid w:val="7A5A6ED6"/>
    <w:rsid w:val="7A612FFA"/>
    <w:rsid w:val="7A9C767F"/>
    <w:rsid w:val="7AF61481"/>
    <w:rsid w:val="7B12525B"/>
    <w:rsid w:val="7B182612"/>
    <w:rsid w:val="7B90433E"/>
    <w:rsid w:val="7BD16BFB"/>
    <w:rsid w:val="7C734AF2"/>
    <w:rsid w:val="7CBE63A3"/>
    <w:rsid w:val="7DA01062"/>
    <w:rsid w:val="7E2C3164"/>
    <w:rsid w:val="7E6D1239"/>
    <w:rsid w:val="7E77148C"/>
    <w:rsid w:val="7E83424C"/>
    <w:rsid w:val="7E872BE6"/>
    <w:rsid w:val="7E8F1DB2"/>
    <w:rsid w:val="7ED9401F"/>
    <w:rsid w:val="7F123C1F"/>
    <w:rsid w:val="7F1A4649"/>
    <w:rsid w:val="7F6B0F44"/>
    <w:rsid w:val="7F817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pageBreakBefore/>
      <w:widowControl w:val="0"/>
      <w:numPr>
        <w:ilvl w:val="0"/>
        <w:numId w:val="1"/>
      </w:numPr>
      <w:tabs>
        <w:tab w:val="left" w:pos="425"/>
      </w:tabs>
      <w:spacing w:after="240" w:line="579" w:lineRule="auto"/>
      <w:ind w:left="431" w:hanging="431"/>
      <w:outlineLvl w:val="0"/>
    </w:pPr>
    <w:rPr>
      <w:rFonts w:asciiTheme="minorAscii" w:hAnsiTheme="minorAsci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tabs>
        <w:tab w:val="left" w:pos="567"/>
      </w:tabs>
      <w:spacing w:before="140" w:after="260" w:line="416" w:lineRule="auto"/>
      <w:ind w:left="783" w:leftChars="100" w:hanging="573"/>
      <w:outlineLvl w:val="1"/>
    </w:pPr>
    <w:rPr>
      <w:rFonts w:asciiTheme="majorAscii" w:hAnsiTheme="majorAsci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tabs>
        <w:tab w:val="left" w:pos="709"/>
      </w:tabs>
      <w:spacing w:before="260" w:after="260" w:line="416" w:lineRule="auto"/>
      <w:ind w:left="1140" w:leftChars="200" w:hanging="720"/>
      <w:outlineLvl w:val="2"/>
    </w:pPr>
    <w:rPr>
      <w:rFonts w:asciiTheme="minorAscii" w:hAnsiTheme="minorAscii"/>
      <w:b/>
      <w:bCs/>
      <w:sz w:val="24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tabs>
        <w:tab w:val="left" w:pos="1986"/>
      </w:tabs>
      <w:spacing w:before="260" w:beforeLines="0" w:beforeAutospacing="0" w:after="260" w:afterLines="0" w:afterAutospacing="0" w:line="360" w:lineRule="auto"/>
      <w:ind w:left="420" w:leftChars="200" w:firstLine="880" w:firstLineChars="200"/>
      <w:jc w:val="both"/>
      <w:outlineLvl w:val="3"/>
    </w:pPr>
    <w:rPr>
      <w:rFonts w:ascii="Arial" w:hAnsi="Arial" w:eastAsia="宋体"/>
      <w:b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tabs>
        <w:tab w:val="left" w:pos="992"/>
      </w:tabs>
      <w:spacing w:before="280" w:beforeLines="0" w:beforeAutospacing="0" w:after="290" w:afterLines="0" w:afterAutospacing="0" w:line="240" w:lineRule="auto"/>
      <w:ind w:left="1008" w:hanging="1008"/>
      <w:outlineLvl w:val="4"/>
    </w:pPr>
    <w:rPr>
      <w:rFonts w:asciiTheme="minorAscii" w:hAnsiTheme="minorAscii"/>
      <w:b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before="152" w:beforeLines="0" w:beforeAutospacing="0" w:after="160" w:afterLines="0" w:afterAutospacing="0"/>
    </w:pPr>
    <w:rPr>
      <w:rFonts w:ascii="Arial" w:hAnsi="Arial" w:eastAsia="黑体"/>
      <w:sz w:val="20"/>
    </w:r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Date"/>
    <w:basedOn w:val="1"/>
    <w:next w:val="1"/>
    <w:link w:val="23"/>
    <w:unhideWhenUsed/>
    <w:qFormat/>
    <w:uiPriority w:val="99"/>
    <w:pPr>
      <w:ind w:left="100" w:leftChars="2500"/>
    </w:p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7">
    <w:name w:val="Strong"/>
    <w:qFormat/>
    <w:uiPriority w:val="22"/>
    <w:rPr>
      <w:b/>
      <w:bCs/>
    </w:rPr>
  </w:style>
  <w:style w:type="character" w:styleId="18">
    <w:name w:val="FollowedHyperlink"/>
    <w:basedOn w:val="16"/>
    <w:unhideWhenUsed/>
    <w:qFormat/>
    <w:uiPriority w:val="99"/>
    <w:rPr>
      <w:color w:val="800080"/>
      <w:u w:val="single"/>
    </w:rPr>
  </w:style>
  <w:style w:type="character" w:styleId="19">
    <w:name w:val="Hyperlink"/>
    <w:basedOn w:val="16"/>
    <w:unhideWhenUsed/>
    <w:qFormat/>
    <w:uiPriority w:val="99"/>
    <w:rPr>
      <w:color w:val="0000FF"/>
      <w:u w:val="single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2">
    <w:name w:val="标题 1 Char"/>
    <w:basedOn w:val="16"/>
    <w:link w:val="2"/>
    <w:qFormat/>
    <w:uiPriority w:val="9"/>
    <w:rPr>
      <w:rFonts w:asciiTheme="minorAscii" w:hAnsiTheme="minorAscii" w:eastAsiaTheme="minorEastAsia"/>
      <w:b/>
      <w:bCs/>
      <w:kern w:val="44"/>
      <w:sz w:val="44"/>
      <w:szCs w:val="44"/>
    </w:rPr>
  </w:style>
  <w:style w:type="character" w:customStyle="1" w:styleId="23">
    <w:name w:val="日期 Char"/>
    <w:basedOn w:val="16"/>
    <w:link w:val="13"/>
    <w:semiHidden/>
    <w:qFormat/>
    <w:uiPriority w:val="99"/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2 Char"/>
    <w:basedOn w:val="16"/>
    <w:link w:val="3"/>
    <w:qFormat/>
    <w:uiPriority w:val="9"/>
    <w:rPr>
      <w:rFonts w:asciiTheme="majorAscii" w:hAnsiTheme="majorAscii" w:eastAsiaTheme="majorEastAsia" w:cstheme="majorBidi"/>
      <w:b/>
      <w:bCs/>
      <w:sz w:val="32"/>
      <w:szCs w:val="32"/>
    </w:rPr>
  </w:style>
  <w:style w:type="character" w:customStyle="1" w:styleId="26">
    <w:name w:val="标题 3 Char"/>
    <w:basedOn w:val="16"/>
    <w:link w:val="4"/>
    <w:qFormat/>
    <w:uiPriority w:val="9"/>
    <w:rPr>
      <w:rFonts w:asciiTheme="minorAscii" w:hAnsiTheme="minorAscii" w:eastAsiaTheme="minorEastAsia"/>
      <w:b/>
      <w:bCs/>
      <w:sz w:val="24"/>
      <w:szCs w:val="32"/>
    </w:rPr>
  </w:style>
  <w:style w:type="paragraph" w:customStyle="1" w:styleId="27">
    <w:name w:val="pregtext1"/>
    <w:basedOn w:val="1"/>
    <w:qFormat/>
    <w:uiPriority w:val="0"/>
    <w:pPr>
      <w:widowControl/>
      <w:spacing w:before="100" w:beforeLines="0" w:beforeAutospacing="1" w:after="100" w:afterLines="0" w:afterAutospacing="1" w:line="240" w:lineRule="auto"/>
      <w:jc w:val="left"/>
    </w:pPr>
    <w:rPr>
      <w:rFonts w:ascii="宋体" w:hAnsi="宋体" w:cs="宋体"/>
      <w:kern w:val="0"/>
    </w:rPr>
  </w:style>
  <w:style w:type="character" w:customStyle="1" w:styleId="28">
    <w:name w:val="font11"/>
    <w:basedOn w:val="16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character" w:customStyle="1" w:styleId="29">
    <w:name w:val="font01"/>
    <w:basedOn w:val="16"/>
    <w:qFormat/>
    <w:uiPriority w:val="0"/>
    <w:rPr>
      <w:rFonts w:hint="eastAsia" w:ascii="宋体" w:hAnsi="宋体" w:eastAsia="宋体" w:cs="宋体"/>
      <w:color w:val="FF0000"/>
      <w:sz w:val="24"/>
      <w:szCs w:val="24"/>
      <w:u w:val="none"/>
    </w:rPr>
  </w:style>
  <w:style w:type="paragraph" w:customStyle="1" w:styleId="30">
    <w:name w:val="p0"/>
    <w:basedOn w:val="1"/>
    <w:qFormat/>
    <w:uiPriority w:val="0"/>
    <w:pPr>
      <w:widowControl/>
    </w:pPr>
    <w:rPr>
      <w:kern w:val="0"/>
      <w:szCs w:val="21"/>
    </w:rPr>
  </w:style>
  <w:style w:type="character" w:customStyle="1" w:styleId="31">
    <w:name w:val="font41"/>
    <w:basedOn w:val="16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character" w:customStyle="1" w:styleId="32">
    <w:name w:val="font31"/>
    <w:basedOn w:val="16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33">
    <w:name w:val="font21"/>
    <w:basedOn w:val="16"/>
    <w:qFormat/>
    <w:uiPriority w:val="0"/>
    <w:rPr>
      <w:rFonts w:hint="eastAsia" w:ascii="宋体" w:hAnsi="宋体" w:eastAsia="宋体" w:cs="宋体"/>
      <w:color w:val="FF0000"/>
      <w:sz w:val="24"/>
      <w:szCs w:val="24"/>
      <w:u w:val="none"/>
    </w:rPr>
  </w:style>
  <w:style w:type="paragraph" w:customStyle="1" w:styleId="3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customXml" Target="../customXml/item2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614507-C7FE-4684-A0ED-87CAC94F90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74</Words>
  <Characters>422</Characters>
  <Lines>3</Lines>
  <Paragraphs>1</Paragraphs>
  <ScaleCrop>false</ScaleCrop>
  <LinksUpToDate>false</LinksUpToDate>
  <CharactersWithSpaces>495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2017-11-23T11:22:00Z</dcterms:created>
  <dc:creator>Admin</dc:creator>
  <cp:lastModifiedBy>yss</cp:lastModifiedBy>
  <dcterms:modified xsi:type="dcterms:W3CDTF">2018-01-04T09:32:57Z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