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14"/>
        <w:tabs>
          <w:tab w:val="right" w:leader="dot" w:pos="8306"/>
        </w:tabs>
      </w:pPr>
      <w:r>
        <w:rPr>
          <w:rFonts w:hint="eastAsia"/>
          <w:b/>
          <w:bCs/>
          <w:sz w:val="52"/>
          <w:szCs w:val="52"/>
          <w:lang w:eastAsia="zh-CN"/>
        </w:rPr>
        <w:fldChar w:fldCharType="begin"/>
      </w:r>
      <w:r>
        <w:rPr>
          <w:rFonts w:hint="eastAsia"/>
          <w:b/>
          <w:bCs/>
          <w:sz w:val="52"/>
          <w:szCs w:val="52"/>
          <w:lang w:eastAsia="zh-CN"/>
        </w:rPr>
        <w:instrText xml:space="preserve">TOC \o "1-6" \h \u </w:instrText>
      </w:r>
      <w:r>
        <w:rPr>
          <w:rFonts w:hint="eastAsia"/>
          <w:b/>
          <w:bCs/>
          <w:sz w:val="52"/>
          <w:szCs w:val="52"/>
          <w:lang w:eastAsia="zh-CN"/>
        </w:rPr>
        <w:fldChar w:fldCharType="separate"/>
      </w: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_Toc2875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eastAsia="zh-CN"/>
        </w:rPr>
        <w:t>软件说明</w:t>
      </w:r>
      <w:r>
        <w:tab/>
      </w:r>
      <w:r>
        <w:fldChar w:fldCharType="begin"/>
      </w:r>
      <w:r>
        <w:instrText xml:space="preserve"> PAGEREF _Toc2875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_Toc4470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1.1. </w:t>
      </w:r>
      <w:r>
        <w:rPr>
          <w:rFonts w:hint="eastAsia"/>
          <w:lang w:eastAsia="zh-CN"/>
        </w:rPr>
        <w:t>安装环境</w:t>
      </w:r>
      <w:r>
        <w:tab/>
      </w:r>
      <w:r>
        <w:fldChar w:fldCharType="begin"/>
      </w:r>
      <w:r>
        <w:instrText xml:space="preserve"> PAGEREF _Toc4470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_Toc9459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eastAsia="zh-CN"/>
        </w:rPr>
        <w:t xml:space="preserve">1.2. </w:t>
      </w:r>
      <w:r>
        <w:rPr>
          <w:rFonts w:hint="eastAsia"/>
          <w:lang w:eastAsia="zh-CN"/>
        </w:rPr>
        <w:t>目录结构</w:t>
      </w:r>
      <w:r>
        <w:tab/>
      </w:r>
      <w:r>
        <w:fldChar w:fldCharType="begin"/>
      </w:r>
      <w:r>
        <w:instrText xml:space="preserve"> PAGEREF _Toc9459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_Toc4901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eastAsia="zh-CN"/>
        </w:rPr>
        <w:t xml:space="preserve">1.2.1. </w:t>
      </w:r>
      <w:r>
        <w:rPr>
          <w:rFonts w:hint="eastAsia"/>
          <w:lang w:eastAsia="zh-CN"/>
        </w:rPr>
        <w:t>伺服器目录结构</w:t>
      </w:r>
      <w:r>
        <w:tab/>
      </w:r>
      <w:r>
        <w:fldChar w:fldCharType="begin"/>
      </w:r>
      <w:r>
        <w:instrText xml:space="preserve"> PAGEREF _Toc4901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_Toc15620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1.2.2. </w:t>
      </w:r>
      <w:r>
        <w:rPr>
          <w:rFonts w:hint="eastAsia"/>
          <w:lang w:eastAsia="zh-CN"/>
        </w:rPr>
        <w:t>深证通目录结构</w:t>
      </w:r>
      <w:r>
        <w:tab/>
      </w:r>
      <w:r>
        <w:fldChar w:fldCharType="begin"/>
      </w:r>
      <w:r>
        <w:instrText xml:space="preserve"> PAGEREF _Toc15620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_Toc22197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功能模块</w:t>
      </w:r>
      <w:r>
        <w:tab/>
      </w:r>
      <w:r>
        <w:fldChar w:fldCharType="begin"/>
      </w:r>
      <w:r>
        <w:instrText xml:space="preserve"> PAGEREF _Toc22197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_Toc9636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基本设置</w:t>
      </w:r>
      <w:r>
        <w:tab/>
      </w:r>
      <w:r>
        <w:fldChar w:fldCharType="begin"/>
      </w:r>
      <w:r>
        <w:instrText xml:space="preserve"> PAGEREF _Toc9636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_Toc32516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2.1.1.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_Toc32516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_Toc4554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2.1.2.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_Toc4554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_Toc26738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2.1.3.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_Toc26738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_Toc13435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站点设置</w:t>
      </w:r>
      <w:r>
        <w:tab/>
      </w:r>
      <w:r>
        <w:fldChar w:fldCharType="begin"/>
      </w:r>
      <w:r>
        <w:instrText xml:space="preserve"> PAGEREF _Toc13435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_Toc10640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_Toc10640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_Toc9013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_Toc9013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_Toc15943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_Toc15943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_Toc23806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深证通信息设置</w:t>
      </w:r>
      <w:r>
        <w:tab/>
      </w:r>
      <w:r>
        <w:fldChar w:fldCharType="begin"/>
      </w:r>
      <w:r>
        <w:instrText xml:space="preserve"> PAGEREF _Toc23806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_Toc22851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2.3.1.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_Toc22851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_Toc8868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2.3.2.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_Toc8868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_Toc30117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2.3.3.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_Toc30117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_Toc29223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Socket设置</w:t>
      </w:r>
      <w:r>
        <w:tab/>
      </w:r>
      <w:r>
        <w:fldChar w:fldCharType="begin"/>
      </w:r>
      <w:r>
        <w:instrText xml:space="preserve"> PAGEREF _Toc29223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_Toc21316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2.4.1.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_Toc21316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_Toc18033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2.4.2.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_Toc18033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_Toc6669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2.4.3.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_Toc6669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_Toc1474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2.5. </w:t>
      </w:r>
      <w:r>
        <w:rPr>
          <w:rFonts w:hint="eastAsia"/>
          <w:lang w:val="en-US" w:eastAsia="zh-CN"/>
        </w:rPr>
        <w:t>编码设置</w:t>
      </w:r>
      <w:r>
        <w:tab/>
      </w:r>
      <w:r>
        <w:fldChar w:fldCharType="begin"/>
      </w:r>
      <w:r>
        <w:instrText xml:space="preserve"> PAGEREF _Toc1474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_Toc1339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2.5.1.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_Toc1339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_Toc7286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2.5.2.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_Toc7286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_Toc15746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2.5.3.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_Toc15746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_Toc28438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2.6. </w:t>
      </w:r>
      <w:r>
        <w:rPr>
          <w:rFonts w:hint="eastAsia"/>
          <w:lang w:val="en-US" w:eastAsia="zh-CN"/>
        </w:rPr>
        <w:t>http设置</w:t>
      </w:r>
      <w:r>
        <w:tab/>
      </w:r>
      <w:r>
        <w:fldChar w:fldCharType="begin"/>
      </w:r>
      <w:r>
        <w:instrText xml:space="preserve"> PAGEREF _Toc28438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_Toc355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2.6.1.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_Toc355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_Toc26064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2.6.2.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_Toc26064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_Toc30014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2.6.3.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_Toc30014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_Toc9415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挡板测试配置</w:t>
      </w:r>
      <w:r>
        <w:tab/>
      </w:r>
      <w:r>
        <w:fldChar w:fldCharType="begin"/>
      </w:r>
      <w:r>
        <w:instrText xml:space="preserve"> PAGEREF _Toc9415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_Toc225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_Toc225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_Toc24546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深证通方式</w:t>
      </w:r>
      <w:r>
        <w:tab/>
      </w:r>
      <w:r>
        <w:fldChar w:fldCharType="begin"/>
      </w:r>
      <w:r>
        <w:instrText xml:space="preserve"> PAGEREF _Toc24546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_Toc3748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3.2.1. </w:t>
      </w:r>
      <w:r>
        <w:rPr>
          <w:rFonts w:hint="eastAsia"/>
          <w:lang w:val="en-US" w:eastAsia="zh-CN"/>
        </w:rPr>
        <w:t>挡板配置</w:t>
      </w:r>
      <w:r>
        <w:tab/>
      </w:r>
      <w:r>
        <w:fldChar w:fldCharType="begin"/>
      </w:r>
      <w:r>
        <w:instrText xml:space="preserve"> PAGEREF _Toc3748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_Toc28155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http方式</w:t>
      </w:r>
      <w:r>
        <w:tab/>
      </w:r>
      <w:r>
        <w:fldChar w:fldCharType="begin"/>
      </w:r>
      <w:r>
        <w:instrText xml:space="preserve"> PAGEREF _Toc28155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_Toc24660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3.3.1. </w:t>
      </w:r>
      <w:r>
        <w:rPr>
          <w:rFonts w:hint="eastAsia"/>
          <w:lang w:val="en-US" w:eastAsia="zh-CN"/>
        </w:rPr>
        <w:t>挡板配置</w:t>
      </w:r>
      <w:r>
        <w:tab/>
      </w:r>
      <w:r>
        <w:fldChar w:fldCharType="begin"/>
      </w:r>
      <w:r>
        <w:instrText xml:space="preserve"> PAGEREF _Toc24660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_Toc7837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配置文件说明</w:t>
      </w:r>
      <w:r>
        <w:tab/>
      </w:r>
      <w:r>
        <w:fldChar w:fldCharType="begin"/>
      </w:r>
      <w:r>
        <w:instrText xml:space="preserve"> PAGEREF _Toc7837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_Toc4214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配置文件</w:t>
      </w:r>
      <w:r>
        <w:tab/>
      </w:r>
      <w:r>
        <w:fldChar w:fldCharType="begin"/>
      </w:r>
      <w:r>
        <w:instrText xml:space="preserve"> PAGEREF _Toc4214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_Toc11964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说明</w:t>
      </w:r>
      <w:r>
        <w:tab/>
      </w:r>
      <w:r>
        <w:fldChar w:fldCharType="begin"/>
      </w:r>
      <w:r>
        <w:instrText xml:space="preserve"> PAGEREF _Toc11964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52"/>
          <w:szCs w:val="52"/>
          <w:lang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Cs/>
          <w:szCs w:val="52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  <w:r>
        <w:rPr>
          <w:rFonts w:hint="eastAsia"/>
          <w:b/>
          <w:bCs/>
          <w:sz w:val="52"/>
          <w:szCs w:val="52"/>
          <w:lang w:eastAsia="zh-CN"/>
        </w:rPr>
        <w:t>伺服器配置说明书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修改记录</w:t>
      </w:r>
    </w:p>
    <w:tbl>
      <w:tblPr>
        <w:tblStyle w:val="17"/>
        <w:tblW w:w="88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686"/>
        <w:gridCol w:w="4061"/>
        <w:gridCol w:w="1078"/>
        <w:gridCol w:w="11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826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</w:t>
            </w:r>
          </w:p>
        </w:tc>
        <w:tc>
          <w:tcPr>
            <w:tcW w:w="1686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日期</w:t>
            </w:r>
          </w:p>
        </w:tc>
        <w:tc>
          <w:tcPr>
            <w:tcW w:w="4061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说明</w:t>
            </w:r>
          </w:p>
        </w:tc>
        <w:tc>
          <w:tcPr>
            <w:tcW w:w="1078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编写者</w:t>
            </w:r>
          </w:p>
        </w:tc>
        <w:tc>
          <w:tcPr>
            <w:tcW w:w="1169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826" w:type="dxa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1.0</w:t>
            </w:r>
          </w:p>
        </w:tc>
        <w:tc>
          <w:tcPr>
            <w:tcW w:w="1686" w:type="dxa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2019/01/09</w:t>
            </w:r>
          </w:p>
        </w:tc>
        <w:tc>
          <w:tcPr>
            <w:tcW w:w="4061" w:type="dxa"/>
          </w:tcPr>
          <w:p>
            <w:pPr>
              <w:rPr>
                <w:rFonts w:hint="eastAsia" w:ascii="宋体" w:hAnsi="宋体" w:eastAsiaTheme="minorEastAsia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新增</w:t>
            </w:r>
          </w:p>
        </w:tc>
        <w:tc>
          <w:tcPr>
            <w:tcW w:w="1078" w:type="dxa"/>
          </w:tcPr>
          <w:p>
            <w:pPr>
              <w:rPr>
                <w:rFonts w:hint="eastAsia" w:ascii="宋体" w:hAnsi="宋体" w:eastAsiaTheme="minorEastAsia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李文周</w:t>
            </w:r>
          </w:p>
        </w:tc>
        <w:tc>
          <w:tcPr>
            <w:tcW w:w="1169" w:type="dxa"/>
          </w:tcPr>
          <w:p>
            <w:pPr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826" w:type="dxa"/>
          </w:tcPr>
          <w:p>
            <w:pPr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2.0</w:t>
            </w:r>
          </w:p>
        </w:tc>
        <w:tc>
          <w:tcPr>
            <w:tcW w:w="1686" w:type="dxa"/>
          </w:tcPr>
          <w:p>
            <w:pPr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2019/05/18</w:t>
            </w:r>
          </w:p>
        </w:tc>
        <w:tc>
          <w:tcPr>
            <w:tcW w:w="4061" w:type="dxa"/>
          </w:tcPr>
          <w:p>
            <w:pPr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添加</w:t>
            </w:r>
          </w:p>
        </w:tc>
        <w:tc>
          <w:tcPr>
            <w:tcW w:w="1078" w:type="dxa"/>
          </w:tcPr>
          <w:p>
            <w:pPr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李文周</w:t>
            </w:r>
          </w:p>
        </w:tc>
        <w:tc>
          <w:tcPr>
            <w:tcW w:w="1169" w:type="dxa"/>
          </w:tcPr>
          <w:p>
            <w:pPr>
              <w:rPr>
                <w:rFonts w:hint="eastAsia" w:ascii="宋体" w:hAnsi="宋体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0" w:name="_Toc2875"/>
      <w:r>
        <w:rPr>
          <w:rFonts w:hint="eastAsia"/>
          <w:lang w:eastAsia="zh-CN"/>
        </w:rPr>
        <w:t>软件说明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4470"/>
      <w:r>
        <w:rPr>
          <w:rFonts w:hint="eastAsia"/>
          <w:lang w:eastAsia="zh-CN"/>
        </w:rPr>
        <w:t>安装环境</w:t>
      </w:r>
      <w:bookmarkEnd w:id="1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系统：</w:t>
      </w:r>
      <w:r>
        <w:rPr>
          <w:rFonts w:hint="eastAsia"/>
          <w:color w:val="FF0000"/>
          <w:lang w:val="en-US" w:eastAsia="zh-CN"/>
        </w:rPr>
        <w:t>Windows64位系统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Java环境：</w:t>
      </w:r>
      <w:r>
        <w:rPr>
          <w:rFonts w:hint="eastAsia"/>
          <w:color w:val="FF0000"/>
          <w:lang w:val="en-US" w:eastAsia="zh-CN"/>
        </w:rPr>
        <w:t>jdk1.6（64位）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内存：8G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磁盘：C盘可用空间&gt;20%(YssMrApi3.5_20190322版本以后，可更改到日志路径所在盘)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网络环境：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估值系统21.5(消息中心)版本：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需要打通的端口</w:t>
      </w:r>
    </w:p>
    <w:tbl>
      <w:tblPr>
        <w:tblStyle w:val="18"/>
        <w:tblW w:w="639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估值系统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消息中心端口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201420" cy="168910"/>
                  <wp:effectExtent l="0" t="0" r="17780" b="254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420" cy="168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伺服器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消息中心端口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213485" cy="1553845"/>
                  <wp:effectExtent l="0" t="0" r="5715" b="8255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1553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估值系统21.6(消息总线)版本：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需要打通的端口</w:t>
      </w:r>
    </w:p>
    <w:tbl>
      <w:tblPr>
        <w:tblStyle w:val="18"/>
        <w:tblW w:w="639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估值系统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消息总线端口mq-namesrv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208405" cy="593090"/>
                  <wp:effectExtent l="0" t="0" r="10795" b="16510"/>
                  <wp:docPr id="44" name="图片 44" descr="企业微信截图_15759685686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企业微信截图_1575968568608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405" cy="59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listenPort端口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1209675" cy="263525"/>
                  <wp:effectExtent l="0" t="0" r="9525" b="317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listenPort端口+1</w:t>
            </w:r>
          </w:p>
        </w:tc>
        <w:tc>
          <w:tcPr>
            <w:tcW w:w="2131" w:type="dxa"/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listenPort端口-2</w:t>
            </w:r>
          </w:p>
        </w:tc>
        <w:tc>
          <w:tcPr>
            <w:tcW w:w="2131" w:type="dxa"/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伺服器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消息总线端口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215390" cy="1510030"/>
                  <wp:effectExtent l="0" t="0" r="3810" b="13970"/>
                  <wp:docPr id="2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90" cy="151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brokerPort端口</w:t>
            </w:r>
          </w:p>
        </w:tc>
        <w:tc>
          <w:tcPr>
            <w:tcW w:w="2131" w:type="dxa"/>
          </w:tcPr>
          <w:p>
            <w:pPr/>
            <w:r>
              <w:drawing>
                <wp:inline distT="0" distB="0" distL="114300" distR="114300">
                  <wp:extent cx="1212850" cy="899795"/>
                  <wp:effectExtent l="0" t="0" r="6350" b="1460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899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brokerPort端口+1</w:t>
            </w:r>
          </w:p>
        </w:tc>
        <w:tc>
          <w:tcPr>
            <w:tcW w:w="2131" w:type="dxa"/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brokerPort端口-2</w:t>
            </w:r>
          </w:p>
        </w:tc>
        <w:tc>
          <w:tcPr>
            <w:tcW w:w="2131" w:type="dxa"/>
          </w:tcPr>
          <w:p>
            <w:pPr/>
          </w:p>
        </w:tc>
      </w:tr>
    </w:tbl>
    <w:p>
      <w:pPr>
        <w:ind w:firstLine="420" w:firstLineChars="0"/>
        <w:rPr>
          <w:rFonts w:hint="eastAsia"/>
          <w:vertAlign w:val="baseline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bookmarkStart w:id="2" w:name="_Toc9459"/>
      <w:r>
        <w:rPr>
          <w:rFonts w:hint="eastAsia"/>
          <w:lang w:eastAsia="zh-CN"/>
        </w:rPr>
        <w:t>目录结构</w:t>
      </w:r>
      <w:bookmarkEnd w:id="2"/>
    </w:p>
    <w:p>
      <w:pPr>
        <w:pStyle w:val="4"/>
        <w:rPr>
          <w:rFonts w:hint="eastAsia"/>
          <w:lang w:eastAsia="zh-CN"/>
        </w:rPr>
      </w:pPr>
      <w:bookmarkStart w:id="3" w:name="_Toc4901"/>
      <w:r>
        <w:rPr>
          <w:rFonts w:hint="eastAsia"/>
          <w:lang w:eastAsia="zh-CN"/>
        </w:rPr>
        <w:t>伺服器目录结构</w:t>
      </w:r>
      <w:bookmarkEnd w:id="3"/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055" cy="1803400"/>
            <wp:effectExtent l="0" t="0" r="10795" b="635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log：伺服器运行日志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sztResp:伺服器挡板测试，响应报文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start.bat：伺服器启动文件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config.xml:伺服器配置文件</w:t>
      </w:r>
    </w:p>
    <w:p>
      <w:pPr>
        <w:pStyle w:val="4"/>
        <w:rPr>
          <w:rFonts w:hint="eastAsia"/>
          <w:lang w:val="en-US" w:eastAsia="zh-CN"/>
        </w:rPr>
      </w:pPr>
      <w:bookmarkStart w:id="4" w:name="_Toc15620"/>
      <w:r>
        <w:rPr>
          <w:rFonts w:hint="eastAsia"/>
          <w:lang w:eastAsia="zh-CN"/>
        </w:rPr>
        <w:t>深证通目录结构</w:t>
      </w:r>
      <w:bookmarkEnd w:id="4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1975" cy="619125"/>
            <wp:effectExtent l="0" t="0" r="9525" b="9525"/>
            <wp:docPr id="1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bsmr:深证通软件目录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mrterm：深证通监控软件目录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bsmr: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0250" cy="1571625"/>
            <wp:effectExtent l="0" t="0" r="0" b="9525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ini:存放深证通配置文件mr.ini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log:存放深证通运行日志及报文日志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bsmr.exe:深证通启动文件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对接流程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估值21.5及以下配置流程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深证通MR:</w:t>
      </w:r>
    </w:p>
    <w:p>
      <w:pPr>
        <w:numPr>
          <w:ilvl w:val="0"/>
          <w:numId w:val="2"/>
        </w:numPr>
        <w:tabs>
          <w:tab w:val="left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确认深证通MR所在机器的IP及监听端口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</w:pPr>
      <w:r>
        <w:drawing>
          <wp:inline distT="0" distB="0" distL="114300" distR="114300">
            <wp:extent cx="5266690" cy="3980180"/>
            <wp:effectExtent l="0" t="0" r="10160" b="127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2.确认本方深证通USERID和本方深证通APPID及APPID密码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注：本方深证通USERID由深证通提供，需要客户向深证通申请，本方深证通APPID及APPID密码是客户在深证通MR配置文件里自定义的。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3571240"/>
            <wp:effectExtent l="0" t="0" r="508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估值系统：</w:t>
      </w:r>
    </w:p>
    <w:p>
      <w:pPr>
        <w:numPr>
          <w:ilvl w:val="0"/>
          <w:numId w:val="3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确认估值系统消息中心端口（该端口必须打通）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可以从估值系统服务器下YSS_APP/mq.xml中的mq-server节点中查看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</w:pPr>
      <w:r>
        <w:drawing>
          <wp:inline distT="0" distB="0" distL="114300" distR="114300">
            <wp:extent cx="5257800" cy="995045"/>
            <wp:effectExtent l="0" t="0" r="0" b="146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确认估值系统所在IP(必须是实际IP)</w:t>
      </w:r>
    </w:p>
    <w:p>
      <w:pPr>
        <w:numPr>
          <w:ilvl w:val="0"/>
          <w:numId w:val="3"/>
        </w:numPr>
        <w:tabs>
          <w:tab w:val="left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确认本方深证通USERID和本方深证通APPID及APPID密码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注：本方深证通USERID由深证通提供，需要客户向深证通申请，本方深证通APPID及APPID密码是客户在深证通MR配置文件里自定义的。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</w:pPr>
      <w:r>
        <w:drawing>
          <wp:inline distT="0" distB="0" distL="114300" distR="114300">
            <wp:extent cx="5271770" cy="3571240"/>
            <wp:effectExtent l="0" t="0" r="5080" b="1016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这里定义的appid就是dzdz01,业务类型14，发送密码1.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4.确认托管行的深证通USERID及APPID</w:t>
      </w:r>
    </w:p>
    <w:p>
      <w:pPr>
        <w:numPr>
          <w:ilvl w:val="0"/>
          <w:numId w:val="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伺服器：</w:t>
      </w:r>
    </w:p>
    <w:p>
      <w:pPr>
        <w:numPr>
          <w:ilvl w:val="0"/>
          <w:numId w:val="4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在伺服器基本参数设置里设置伺服器的消息中心端口（该端口必须打通）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</w:pPr>
      <w:r>
        <w:drawing>
          <wp:inline distT="0" distB="0" distL="114300" distR="114300">
            <wp:extent cx="3809365" cy="4761865"/>
            <wp:effectExtent l="0" t="0" r="635" b="63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参数配置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</w:t>
      </w:r>
    </w:p>
    <w:p>
      <w:pPr>
        <w:numPr>
          <w:ilvl w:val="0"/>
          <w:numId w:val="5"/>
        </w:numPr>
        <w:tabs>
          <w:tab w:val="left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深证通伺服器设置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4723765" cy="3295015"/>
            <wp:effectExtent l="0" t="0" r="635" b="63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tabs>
          <w:tab w:val="left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电子对账参数设置</w:t>
      </w:r>
    </w:p>
    <w:p>
      <w:pPr>
        <w:numPr>
          <w:ilvl w:val="0"/>
          <w:numId w:val="0"/>
        </w:numPr>
        <w:tabs>
          <w:tab w:val="clear" w:pos="312"/>
        </w:tabs>
        <w:ind w:leftChars="0"/>
      </w:pPr>
      <w:r>
        <w:drawing>
          <wp:inline distT="0" distB="0" distL="114300" distR="114300">
            <wp:extent cx="4819015" cy="3161665"/>
            <wp:effectExtent l="0" t="0" r="635" b="63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1.基本参数设置</w:t>
      </w:r>
    </w:p>
    <w:p>
      <w:pPr/>
      <w:r>
        <w:drawing>
          <wp:inline distT="0" distB="0" distL="114300" distR="114300">
            <wp:extent cx="3733165" cy="4742815"/>
            <wp:effectExtent l="0" t="0" r="635" b="6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2.站点设置</w:t>
      </w:r>
    </w:p>
    <w:p>
      <w:pPr>
        <w:numPr>
          <w:ilvl w:val="0"/>
          <w:numId w:val="0"/>
        </w:numPr>
        <w:tabs>
          <w:tab w:val="clear" w:pos="312"/>
        </w:tabs>
        <w:ind w:leftChars="0"/>
      </w:pPr>
      <w:r>
        <w:drawing>
          <wp:inline distT="0" distB="0" distL="114300" distR="114300">
            <wp:extent cx="5267960" cy="2220595"/>
            <wp:effectExtent l="0" t="0" r="8890" b="825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3.深证通信息设置</w:t>
      </w:r>
    </w:p>
    <w:p>
      <w:pPr>
        <w:numPr>
          <w:ilvl w:val="0"/>
          <w:numId w:val="0"/>
        </w:numPr>
        <w:tabs>
          <w:tab w:val="clear" w:pos="312"/>
        </w:tabs>
        <w:ind w:leftChars="0"/>
      </w:pPr>
      <w:r>
        <w:drawing>
          <wp:inline distT="0" distB="0" distL="114300" distR="114300">
            <wp:extent cx="3771265" cy="3323590"/>
            <wp:effectExtent l="0" t="0" r="635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测试联通性</w:t>
      </w:r>
    </w:p>
    <w:p>
      <w:pPr>
        <w:numPr>
          <w:ilvl w:val="0"/>
          <w:numId w:val="6"/>
        </w:numPr>
        <w:tabs>
          <w:tab w:val="left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点击测试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测试伺服器与深证通MR的联通性，如果显示测试成功，说明联通。</w:t>
      </w:r>
    </w:p>
    <w:p>
      <w:pPr>
        <w:numPr>
          <w:ilvl w:val="0"/>
          <w:numId w:val="6"/>
        </w:numPr>
        <w:tabs>
          <w:tab w:val="left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</w:t>
      </w:r>
    </w:p>
    <w:p>
      <w:pPr>
        <w:numPr>
          <w:ilvl w:val="0"/>
          <w:numId w:val="0"/>
        </w:numPr>
        <w:tabs>
          <w:tab w:val="clear" w:pos="312"/>
        </w:tabs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测试与估值系统的联通性，如果伺服器界面打印出了“初始化...成功”，说明联通。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估值21.6及以上配置流程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深证通MR: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1.确认深证通MR所在机器的IP及监听端口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</w:pPr>
      <w:r>
        <w:drawing>
          <wp:inline distT="0" distB="0" distL="114300" distR="114300">
            <wp:extent cx="5266690" cy="3980180"/>
            <wp:effectExtent l="0" t="0" r="10160" b="12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2.确认本方深证通USERID和本方深证通APPID及APPID密码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注：本方深证通USERID由深证通提供，需要客户向深证通申请，本方深证通APPID及APPID密码是客户在深证通MR配置文件里自定义的。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</w:pPr>
      <w:r>
        <w:drawing>
          <wp:inline distT="0" distB="0" distL="114300" distR="114300">
            <wp:extent cx="5271770" cy="3571240"/>
            <wp:effectExtent l="0" t="0" r="5080" b="1016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这里定义的appid就是dzdz01,业务类型14，发送密码1.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估值系统：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1.确认估值系统消息总线端口（该端口必须打通）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可以从估值系统服务器下YSS_APP/mq.xml中的mq-namesrv节点中查看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</w:pPr>
      <w:r>
        <w:drawing>
          <wp:inline distT="0" distB="0" distL="114300" distR="114300">
            <wp:extent cx="5271135" cy="2395855"/>
            <wp:effectExtent l="0" t="0" r="5715" b="444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2.打通消息总线的辅助端口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可以从估值系统服务器下YSS_APP/mq.xml中的listenPort节点中查看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这里需要打通3个：listenPort，listenPort+1，listenPort-2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690495"/>
            <wp:effectExtent l="0" t="0" r="13970" b="1460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3.确认估值系统所在IP(必须是实际IP)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4.确认本方深证通USERID和本方深证通APPID及APPID密码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注：本方深证通USERID由深证通提供，需要客户向深证通申请，本方深证通APPID及APPID密码是客户在深证通MR配置文件里自定义的。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</w:pPr>
      <w:r>
        <w:drawing>
          <wp:inline distT="0" distB="0" distL="114300" distR="114300">
            <wp:extent cx="5271770" cy="3571240"/>
            <wp:effectExtent l="0" t="0" r="5080" b="1016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这里定义的appid就是dzdz01,业务类型14，发送密码1.</w:t>
      </w:r>
    </w:p>
    <w:p>
      <w:pPr>
        <w:numPr>
          <w:ilvl w:val="0"/>
          <w:numId w:val="3"/>
        </w:numPr>
        <w:tabs>
          <w:tab w:val="left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确认托管行的深证通USERID及APPID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注：估值系统需要打通四个端口：mq-namesrv，listenPort，listenPort+1，listenPort-2</w:t>
      </w:r>
    </w:p>
    <w:p>
      <w:pPr>
        <w:numPr>
          <w:ilvl w:val="0"/>
          <w:numId w:val="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伺服器：</w:t>
      </w:r>
    </w:p>
    <w:p>
      <w:pPr>
        <w:numPr>
          <w:ilvl w:val="0"/>
          <w:numId w:val="4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在伺服器基本参数设置里设置伺服器的消息总线端口（该端口必须打通）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</w:pPr>
      <w:r>
        <w:drawing>
          <wp:inline distT="0" distB="0" distL="114300" distR="114300">
            <wp:extent cx="3742690" cy="4752340"/>
            <wp:effectExtent l="0" t="0" r="10160" b="1016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2.打通伺服器配置文件config.xml中brokerPort端口以及brokerPort+1，brokerPort-2端口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</w:pPr>
      <w:r>
        <w:drawing>
          <wp:inline distT="0" distB="0" distL="114300" distR="114300">
            <wp:extent cx="5268595" cy="3257550"/>
            <wp:effectExtent l="0" t="0" r="8255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注：伺服器需要打通四个端口：消息总线端口，brokerPort端口以及brokerPort+1，brokerPort-2端口</w:t>
      </w:r>
    </w:p>
    <w:p>
      <w:pPr>
        <w:numPr>
          <w:ilvl w:val="0"/>
          <w:numId w:val="4"/>
        </w:numPr>
        <w:tabs>
          <w:tab w:val="left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修改伺服器配置文件brokerIp为伺服器所在IP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</w:pPr>
      <w:r>
        <w:drawing>
          <wp:inline distT="0" distB="0" distL="114300" distR="114300">
            <wp:extent cx="5273040" cy="2875915"/>
            <wp:effectExtent l="0" t="0" r="3810" b="635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</w:pP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注：如果启动伺服器时，报</w:t>
      </w:r>
      <w:r>
        <w:rPr>
          <w:rFonts w:hint="eastAsia"/>
          <w:lang w:val="en-US" w:eastAsia="zh-CN"/>
        </w:rPr>
        <w:t>broker启动不成功，如：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</w:pPr>
      <w:r>
        <w:drawing>
          <wp:inline distT="0" distB="0" distL="114300" distR="114300">
            <wp:extent cx="5271135" cy="1448435"/>
            <wp:effectExtent l="0" t="0" r="5715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可以删除</w:t>
      </w:r>
      <w:r>
        <w:rPr>
          <w:rFonts w:hint="eastAsia"/>
          <w:lang w:val="en-US" w:eastAsia="zh-CN"/>
        </w:rPr>
        <w:t>mq产生的缓存文件和进度文件，重启伺服器。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 w:ascii="宋体" w:hAnsi="宋体" w:eastAsia="宋体" w:cs="宋体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shd w:val="clear" w:fill="FFFFFF"/>
          <w:lang w:val="en-US" w:eastAsia="zh-CN" w:bidi="ar"/>
        </w:rPr>
        <w:t>.rocketmq_offsets（用于记录消息的消费进度）和storeMrApi（用于保存接受到的生产消息），消费进度没配置时，默认会产生在当前登录用户的文件夹中，缓存文件在伺服器配置的日志路径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 w:ascii="宋体" w:hAnsi="宋体" w:eastAsia="宋体" w:cs="宋体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 xml:space="preserve">  当一个机器部署多个伺服器的时候，要将不同伺服器的.rocketmq_offsets及storeMrApi文件名或路径区分开。删除的时候需要配套删除。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 w:ascii="宋体" w:hAnsi="宋体" w:eastAsia="宋体" w:cs="宋体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 xml:space="preserve">  </w:t>
      </w:r>
      <w:bookmarkStart w:id="39" w:name="_GoBack"/>
      <w:bookmarkEnd w:id="39"/>
      <w:r>
        <w:rPr>
          <w:rFonts w:hint="eastAsia" w:ascii="宋体" w:hAnsi="宋体" w:eastAsia="宋体" w:cs="宋体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>当一台机器只部署一台伺服器的时候，在删除.rocketmq_offsets时候必须将storeMrApi也一同删除。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参数配置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</w:t>
      </w:r>
    </w:p>
    <w:p>
      <w:pPr>
        <w:numPr>
          <w:ilvl w:val="0"/>
          <w:numId w:val="5"/>
        </w:numPr>
        <w:tabs>
          <w:tab w:val="left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深证通伺服器设置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4809490" cy="3295015"/>
            <wp:effectExtent l="0" t="0" r="10160" b="635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tabs>
          <w:tab w:val="left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电子对账参数设置</w:t>
      </w:r>
    </w:p>
    <w:p>
      <w:pPr>
        <w:numPr>
          <w:ilvl w:val="0"/>
          <w:numId w:val="0"/>
        </w:numPr>
        <w:tabs>
          <w:tab w:val="clear" w:pos="312"/>
        </w:tabs>
        <w:ind w:leftChars="0"/>
      </w:pPr>
      <w:r>
        <w:drawing>
          <wp:inline distT="0" distB="0" distL="114300" distR="114300">
            <wp:extent cx="4819015" cy="3161665"/>
            <wp:effectExtent l="0" t="0" r="635" b="63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1.基本参数设置</w:t>
      </w:r>
    </w:p>
    <w:p>
      <w:pPr/>
      <w:r>
        <w:drawing>
          <wp:inline distT="0" distB="0" distL="114300" distR="114300">
            <wp:extent cx="3723640" cy="4780915"/>
            <wp:effectExtent l="0" t="0" r="10160" b="63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78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2.站点设置</w:t>
      </w:r>
    </w:p>
    <w:p>
      <w:pPr>
        <w:numPr>
          <w:ilvl w:val="0"/>
          <w:numId w:val="0"/>
        </w:numPr>
        <w:tabs>
          <w:tab w:val="clear" w:pos="312"/>
        </w:tabs>
        <w:ind w:leftChars="0"/>
      </w:pPr>
      <w:r>
        <w:drawing>
          <wp:inline distT="0" distB="0" distL="114300" distR="114300">
            <wp:extent cx="5271135" cy="2323465"/>
            <wp:effectExtent l="0" t="0" r="5715" b="63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3.深证通信息设置</w:t>
      </w:r>
    </w:p>
    <w:p>
      <w:pPr>
        <w:numPr>
          <w:ilvl w:val="0"/>
          <w:numId w:val="0"/>
        </w:numPr>
        <w:tabs>
          <w:tab w:val="clear" w:pos="312"/>
        </w:tabs>
        <w:ind w:leftChars="0"/>
      </w:pPr>
      <w:r>
        <w:drawing>
          <wp:inline distT="0" distB="0" distL="114300" distR="114300">
            <wp:extent cx="3771265" cy="3323590"/>
            <wp:effectExtent l="0" t="0" r="635" b="1016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测试联通性</w:t>
      </w:r>
    </w:p>
    <w:p>
      <w:pPr>
        <w:numPr>
          <w:ilvl w:val="0"/>
          <w:numId w:val="6"/>
        </w:numPr>
        <w:tabs>
          <w:tab w:val="left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点击测试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测试伺服器与深证通MR的联通性，如果显示测试成功，说明联通。</w:t>
      </w:r>
    </w:p>
    <w:p>
      <w:pPr>
        <w:numPr>
          <w:ilvl w:val="0"/>
          <w:numId w:val="6"/>
        </w:numPr>
        <w:tabs>
          <w:tab w:val="left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</w:t>
      </w:r>
    </w:p>
    <w:p>
      <w:pPr>
        <w:numPr>
          <w:ilvl w:val="0"/>
          <w:numId w:val="0"/>
        </w:numPr>
        <w:tabs>
          <w:tab w:val="clear" w:pos="312"/>
        </w:tabs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测试与估值系统的联通性，如果伺服器界面打印出了“初始化...成功”，说明联通。</w:t>
      </w:r>
    </w:p>
    <w:p>
      <w:pPr>
        <w:pStyle w:val="2"/>
        <w:rPr>
          <w:rFonts w:hint="eastAsia"/>
          <w:lang w:val="en-US" w:eastAsia="zh-CN"/>
        </w:rPr>
      </w:pPr>
      <w:bookmarkStart w:id="5" w:name="_Toc22197"/>
      <w:r>
        <w:rPr>
          <w:rFonts w:hint="eastAsia"/>
          <w:lang w:val="en-US" w:eastAsia="zh-CN"/>
        </w:rPr>
        <w:t>功能模块</w:t>
      </w:r>
      <w:bookmarkEnd w:id="5"/>
    </w:p>
    <w:p>
      <w:pPr>
        <w:pStyle w:val="3"/>
        <w:rPr>
          <w:rFonts w:hint="eastAsia"/>
          <w:lang w:val="en-US" w:eastAsia="zh-CN"/>
        </w:rPr>
      </w:pPr>
      <w:bookmarkStart w:id="6" w:name="_Toc9636"/>
      <w:r>
        <w:rPr>
          <w:rFonts w:hint="eastAsia"/>
          <w:lang w:val="en-US" w:eastAsia="zh-CN"/>
        </w:rPr>
        <w:t>基本设置</w:t>
      </w:r>
      <w:bookmarkEnd w:id="6"/>
    </w:p>
    <w:p>
      <w:pPr>
        <w:pStyle w:val="4"/>
        <w:rPr>
          <w:rFonts w:hint="eastAsia"/>
          <w:lang w:val="en-US" w:eastAsia="zh-CN"/>
        </w:rPr>
      </w:pPr>
      <w:bookmarkStart w:id="7" w:name="_Toc32516"/>
      <w:r>
        <w:rPr>
          <w:rFonts w:hint="eastAsia"/>
          <w:lang w:val="en-US" w:eastAsia="zh-CN"/>
        </w:rPr>
        <w:t>功能介绍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设置伺服器基本信息，包括日志，运行方式，与估值的连接方式等，必须设置。</w:t>
      </w:r>
    </w:p>
    <w:p>
      <w:pPr>
        <w:pStyle w:val="4"/>
        <w:rPr>
          <w:rFonts w:hint="eastAsia"/>
          <w:lang w:val="en-US" w:eastAsia="zh-CN"/>
        </w:rPr>
      </w:pPr>
      <w:bookmarkStart w:id="8" w:name="_Toc4554"/>
      <w:r>
        <w:rPr>
          <w:rFonts w:hint="eastAsia"/>
          <w:lang w:val="en-US" w:eastAsia="zh-CN"/>
        </w:rPr>
        <w:t>界面UI</w:t>
      </w:r>
      <w:bookmarkEnd w:id="8"/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10000" cy="4762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" w:name="_Toc26738"/>
      <w:r>
        <w:rPr>
          <w:rFonts w:hint="eastAsia"/>
          <w:lang w:val="en-US" w:eastAsia="zh-CN"/>
        </w:rPr>
        <w:t>输入项说明</w:t>
      </w:r>
      <w:bookmarkEnd w:id="9"/>
    </w:p>
    <w:tbl>
      <w:tblPr>
        <w:tblStyle w:val="18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806"/>
        <w:gridCol w:w="2000"/>
        <w:gridCol w:w="2616"/>
        <w:gridCol w:w="1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超时时间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60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与估值系统连接的超时时间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超时次数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10000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与估值系统连接失败后重试次数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日志路径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C:\\ysstech\\log\\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伺服器记录日志存放的位置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测试路径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C:\\ysstech\\SZT\\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目前无作用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农行源用户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配置农行的USERID用于区分农行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有农行对账时必输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日志天数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报文日志保存天数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接收线程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从深证通MR接收数据线程数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发送线程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往深证通MR发送数据线程数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消息中心端口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21.5必输</w:t>
            </w:r>
          </w:p>
        </w:tc>
        <w:tc>
          <w:tcPr>
            <w:tcW w:w="200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13913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消息中心端口，与估值系统-&gt;伺服器配置端口保持一致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611505" cy="439420"/>
                  <wp:effectExtent l="0" t="0" r="17145" b="17780"/>
                  <wp:docPr id="3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611505" cy="439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消息总线端口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21.6必输</w:t>
            </w:r>
          </w:p>
        </w:tc>
        <w:tc>
          <w:tcPr>
            <w:tcW w:w="200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14914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消息总线端口，与估值系统-&gt;伺服器配置端口保持一致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611505" cy="439420"/>
                  <wp:effectExtent l="0" t="0" r="17145" b="17780"/>
                  <wp:docPr id="2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611505" cy="439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Socket服务端端口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Socket端口，与socket设置配合使用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针对特定客户，无需要不配置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读取MR日志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针对特定客户，无需要不配置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MR文件路径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深证通MR报文日志路径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针对特定客户，无需要不配置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注：21.6使用消息总线，消息总线端口必须配置，config.xml配置文件中brokerIp，brokerPort节点必须配置。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brokerIp：伺服器所在IP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brokerPort：任意不被占用的端口（本端口及其+1，-2都需要被征用，网络需要联通）</w:t>
      </w:r>
    </w:p>
    <w:p>
      <w:pPr>
        <w:rPr>
          <w:rFonts w:hint="eastAsia"/>
          <w:color w:val="FF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0" w:name="_Toc13435"/>
      <w:r>
        <w:rPr>
          <w:rFonts w:hint="eastAsia"/>
          <w:lang w:val="en-US" w:eastAsia="zh-CN"/>
        </w:rPr>
        <w:t>站点设置</w:t>
      </w:r>
      <w:bookmarkEnd w:id="10"/>
    </w:p>
    <w:p>
      <w:pPr>
        <w:pStyle w:val="4"/>
        <w:rPr>
          <w:rFonts w:hint="eastAsia"/>
          <w:lang w:val="en-US" w:eastAsia="zh-CN"/>
        </w:rPr>
      </w:pPr>
      <w:bookmarkStart w:id="11" w:name="_Toc10640"/>
      <w:r>
        <w:rPr>
          <w:rFonts w:hint="eastAsia"/>
          <w:lang w:val="en-US" w:eastAsia="zh-CN"/>
        </w:rPr>
        <w:t>功能介绍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配置需要连接的估值系统，勾选生效，必须配置。</w:t>
      </w:r>
    </w:p>
    <w:p>
      <w:pPr>
        <w:pStyle w:val="4"/>
        <w:rPr>
          <w:rFonts w:hint="eastAsia"/>
          <w:lang w:val="en-US" w:eastAsia="zh-CN"/>
        </w:rPr>
      </w:pPr>
      <w:bookmarkStart w:id="12" w:name="_Toc9013"/>
      <w:r>
        <w:rPr>
          <w:rFonts w:hint="eastAsia"/>
          <w:lang w:val="en-US" w:eastAsia="zh-CN"/>
        </w:rPr>
        <w:t>界面UI</w:t>
      </w:r>
      <w:bookmarkEnd w:id="12"/>
    </w:p>
    <w:p>
      <w:p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1590" cy="2186305"/>
            <wp:effectExtent l="0" t="0" r="3810" b="444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3" w:name="_Toc15943"/>
      <w:r>
        <w:rPr>
          <w:rFonts w:hint="eastAsia"/>
          <w:lang w:val="en-US" w:eastAsia="zh-CN"/>
        </w:rPr>
        <w:t>输入项说明</w:t>
      </w:r>
      <w:bookmarkEnd w:id="13"/>
    </w:p>
    <w:tbl>
      <w:tblPr>
        <w:tblStyle w:val="18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806"/>
        <w:gridCol w:w="2000"/>
        <w:gridCol w:w="2616"/>
        <w:gridCol w:w="1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自动填写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任意添加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估值系统服务器</w:t>
            </w:r>
            <w:r>
              <w:rPr>
                <w:rFonts w:hint="eastAsia"/>
                <w:lang w:val="en-US" w:eastAsia="zh-CN"/>
              </w:rPr>
              <w:t>IP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估值系统服务器端口号（21.5消息中心端口，21.6消息总线端口，在mq.xml里配置的）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744855" cy="365760"/>
                  <wp:effectExtent l="0" t="0" r="17145" b="15240"/>
                  <wp:docPr id="56" name="图片 56" descr="企业微信截图_15759685686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企业微信截图_1575968568608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55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勾选使用的配置信息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勾选生效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方式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21.5消息中心，21.6消息总线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23806"/>
      <w:r>
        <w:rPr>
          <w:rFonts w:hint="eastAsia"/>
          <w:lang w:val="en-US" w:eastAsia="zh-CN"/>
        </w:rPr>
        <w:t>深证通信息设置</w:t>
      </w:r>
      <w:bookmarkEnd w:id="14"/>
    </w:p>
    <w:p>
      <w:pPr>
        <w:pStyle w:val="4"/>
        <w:rPr>
          <w:rFonts w:hint="eastAsia"/>
          <w:lang w:val="en-US" w:eastAsia="zh-CN"/>
        </w:rPr>
      </w:pPr>
      <w:bookmarkStart w:id="15" w:name="_Toc22851"/>
      <w:r>
        <w:rPr>
          <w:rFonts w:hint="eastAsia"/>
          <w:lang w:val="en-US" w:eastAsia="zh-CN"/>
        </w:rPr>
        <w:t>功能介绍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深证通MR信息，包括主机备机，源用户和源应用必须配置。</w:t>
      </w:r>
    </w:p>
    <w:p>
      <w:pPr>
        <w:pStyle w:val="4"/>
        <w:rPr>
          <w:rFonts w:hint="eastAsia"/>
          <w:lang w:val="en-US" w:eastAsia="zh-CN"/>
        </w:rPr>
      </w:pPr>
      <w:bookmarkStart w:id="16" w:name="_Toc8868"/>
      <w:r>
        <w:rPr>
          <w:rFonts w:hint="eastAsia"/>
          <w:lang w:val="en-US" w:eastAsia="zh-CN"/>
        </w:rPr>
        <w:t>界面UI</w:t>
      </w:r>
      <w:bookmarkEnd w:id="16"/>
    </w:p>
    <w:p>
      <w:p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00" cy="3333750"/>
            <wp:effectExtent l="0" t="0" r="0" b="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7" w:name="_Toc30117"/>
      <w:r>
        <w:rPr>
          <w:rFonts w:hint="eastAsia"/>
          <w:lang w:val="en-US" w:eastAsia="zh-CN"/>
        </w:rPr>
        <w:t>输入项说明</w:t>
      </w:r>
      <w:bookmarkEnd w:id="17"/>
    </w:p>
    <w:tbl>
      <w:tblPr>
        <w:tblStyle w:val="18"/>
        <w:tblW w:w="97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806"/>
        <w:gridCol w:w="918"/>
        <w:gridCol w:w="3698"/>
        <w:gridCol w:w="2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918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深证通MR所在机器IP地址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3602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深证通MR端口，深证通配置文件mr.ini里配置的端口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1518920" cy="963295"/>
                  <wp:effectExtent l="0" t="0" r="5080" b="8255"/>
                  <wp:docPr id="7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920" cy="96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源用户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本方源用户userId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源应用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本方源应用appId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源应用密码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本方源应用appId对应的发送密码，在深证通配置文件mr.ini，APPINFO节点下配置的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1543050" cy="676275"/>
                  <wp:effectExtent l="0" t="0" r="0" b="9525"/>
                  <wp:docPr id="8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备机IP地址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有深证通备机填写备机IP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备机端口号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有深证通备机填写备机端口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" w:name="_Toc29223"/>
      <w:r>
        <w:rPr>
          <w:rFonts w:hint="eastAsia"/>
          <w:lang w:val="en-US" w:eastAsia="zh-CN"/>
        </w:rPr>
        <w:t>Socket设置</w:t>
      </w:r>
      <w:bookmarkEnd w:id="18"/>
    </w:p>
    <w:p>
      <w:pPr>
        <w:pStyle w:val="4"/>
        <w:rPr>
          <w:rFonts w:hint="eastAsia"/>
          <w:lang w:val="en-US" w:eastAsia="zh-CN"/>
        </w:rPr>
      </w:pPr>
      <w:bookmarkStart w:id="19" w:name="_Toc21316"/>
      <w:r>
        <w:rPr>
          <w:rFonts w:hint="eastAsia"/>
          <w:lang w:val="en-US" w:eastAsia="zh-CN"/>
        </w:rPr>
        <w:t>功能介绍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配置socket对账方式，特定客户需要socket对账才配置。</w:t>
      </w:r>
    </w:p>
    <w:p>
      <w:pPr>
        <w:pStyle w:val="4"/>
        <w:rPr>
          <w:rFonts w:hint="eastAsia"/>
          <w:lang w:val="en-US" w:eastAsia="zh-CN"/>
        </w:rPr>
      </w:pPr>
      <w:bookmarkStart w:id="20" w:name="_Toc18033"/>
      <w:r>
        <w:rPr>
          <w:rFonts w:hint="eastAsia"/>
          <w:lang w:val="en-US" w:eastAsia="zh-CN"/>
        </w:rPr>
        <w:t>界面UI</w:t>
      </w:r>
      <w:bookmarkEnd w:id="20"/>
    </w:p>
    <w:p>
      <w:p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26455" cy="2540000"/>
            <wp:effectExtent l="0" t="0" r="17145" b="12700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1" w:name="_Toc6669"/>
      <w:r>
        <w:rPr>
          <w:rFonts w:hint="eastAsia"/>
          <w:lang w:val="en-US" w:eastAsia="zh-CN"/>
        </w:rPr>
        <w:t>输入项说明</w:t>
      </w:r>
      <w:bookmarkEnd w:id="21"/>
    </w:p>
    <w:tbl>
      <w:tblPr>
        <w:tblStyle w:val="18"/>
        <w:tblW w:w="97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806"/>
        <w:gridCol w:w="918"/>
        <w:gridCol w:w="3698"/>
        <w:gridCol w:w="2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918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自动填写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目标用户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对方源用户ID(UserId)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对方提供的IP地址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对方提供的端口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2" w:name="_Toc1474"/>
      <w:r>
        <w:rPr>
          <w:rFonts w:hint="eastAsia"/>
          <w:lang w:val="en-US" w:eastAsia="zh-CN"/>
        </w:rPr>
        <w:t>编码设置</w:t>
      </w:r>
      <w:bookmarkEnd w:id="22"/>
    </w:p>
    <w:p>
      <w:pPr>
        <w:pStyle w:val="4"/>
        <w:rPr>
          <w:rFonts w:hint="eastAsia"/>
          <w:lang w:val="en-US" w:eastAsia="zh-CN"/>
        </w:rPr>
      </w:pPr>
      <w:bookmarkStart w:id="23" w:name="_Toc1339"/>
      <w:r>
        <w:rPr>
          <w:rFonts w:hint="eastAsia"/>
          <w:lang w:val="en-US" w:eastAsia="zh-CN"/>
        </w:rPr>
        <w:t>功能介绍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配置报文编码格式，有需要设置，非必输。</w:t>
      </w:r>
    </w:p>
    <w:p>
      <w:pPr>
        <w:pStyle w:val="4"/>
        <w:rPr>
          <w:rFonts w:hint="eastAsia"/>
          <w:lang w:val="en-US" w:eastAsia="zh-CN"/>
        </w:rPr>
      </w:pPr>
      <w:bookmarkStart w:id="24" w:name="_Toc7286"/>
      <w:r>
        <w:rPr>
          <w:rFonts w:hint="eastAsia"/>
          <w:lang w:val="en-US" w:eastAsia="zh-CN"/>
        </w:rPr>
        <w:t>界面UI</w:t>
      </w:r>
      <w:bookmarkEnd w:id="24"/>
    </w:p>
    <w:p>
      <w:p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0090" cy="2486025"/>
            <wp:effectExtent l="0" t="0" r="10160" b="9525"/>
            <wp:docPr id="1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5" w:name="_Toc15746"/>
      <w:r>
        <w:rPr>
          <w:rFonts w:hint="eastAsia"/>
          <w:lang w:val="en-US" w:eastAsia="zh-CN"/>
        </w:rPr>
        <w:t>输入项说明</w:t>
      </w:r>
      <w:bookmarkEnd w:id="25"/>
    </w:p>
    <w:tbl>
      <w:tblPr>
        <w:tblStyle w:val="18"/>
        <w:tblW w:w="97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806"/>
        <w:gridCol w:w="918"/>
        <w:gridCol w:w="3698"/>
        <w:gridCol w:w="2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918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自动填写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机构名称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机构名称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目标USERID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目标源用户ID(UserId)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编码类型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使用的编码类型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6" w:name="_Toc28438"/>
      <w:r>
        <w:rPr>
          <w:rFonts w:hint="eastAsia"/>
          <w:lang w:val="en-US" w:eastAsia="zh-CN"/>
        </w:rPr>
        <w:t>http设置</w:t>
      </w:r>
      <w:bookmarkEnd w:id="26"/>
    </w:p>
    <w:p>
      <w:pPr>
        <w:pStyle w:val="4"/>
        <w:rPr>
          <w:rFonts w:hint="eastAsia"/>
          <w:lang w:val="en-US" w:eastAsia="zh-CN"/>
        </w:rPr>
      </w:pPr>
      <w:bookmarkStart w:id="27" w:name="_Toc355"/>
      <w:r>
        <w:rPr>
          <w:rFonts w:hint="eastAsia"/>
          <w:lang w:val="en-US" w:eastAsia="zh-CN"/>
        </w:rPr>
        <w:t>功能介绍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行内对账，使用http方式的需要配置。依赖深证通信息设置下的源用户和源应用。</w:t>
      </w:r>
    </w:p>
    <w:p>
      <w:pPr>
        <w:pStyle w:val="4"/>
        <w:rPr>
          <w:rFonts w:hint="eastAsia"/>
          <w:lang w:val="en-US" w:eastAsia="zh-CN"/>
        </w:rPr>
      </w:pPr>
      <w:bookmarkStart w:id="28" w:name="_Toc26064"/>
      <w:r>
        <w:rPr>
          <w:rFonts w:hint="eastAsia"/>
          <w:lang w:val="en-US" w:eastAsia="zh-CN"/>
        </w:rPr>
        <w:t>界面UI</w:t>
      </w:r>
      <w:bookmarkEnd w:id="28"/>
    </w:p>
    <w:p>
      <w:p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3820" cy="4159885"/>
            <wp:effectExtent l="0" t="0" r="17780" b="12065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9" w:name="_Toc30014"/>
      <w:r>
        <w:rPr>
          <w:rFonts w:hint="eastAsia"/>
          <w:lang w:val="en-US" w:eastAsia="zh-CN"/>
        </w:rPr>
        <w:t>输入项说明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HTTP接收设置：</w:t>
      </w:r>
    </w:p>
    <w:tbl>
      <w:tblPr>
        <w:tblStyle w:val="18"/>
        <w:tblW w:w="97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690"/>
        <w:gridCol w:w="1034"/>
        <w:gridCol w:w="3698"/>
        <w:gridCol w:w="2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1034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开启服务器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是否开启接收服务器，接收托管行反馈的报文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服务器端口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本方服务器监听的端口，不能被占用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接收地址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本方监听的URL地址，用来接收托管行报文，需要提供给托管行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提供给托管行时，需要将127.0.0.1替换为伺服器所在机器的实际对外的IP地址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HTTP发送设置：</w:t>
      </w:r>
    </w:p>
    <w:tbl>
      <w:tblPr>
        <w:tblStyle w:val="18"/>
        <w:tblW w:w="97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690"/>
        <w:gridCol w:w="1034"/>
        <w:gridCol w:w="3698"/>
        <w:gridCol w:w="2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1034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自动填写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目标用户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目标源用户ID(UserId)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报文编码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GB18030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报文的编码方式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URL</w:t>
            </w:r>
          </w:p>
        </w:tc>
        <w:tc>
          <w:tcPr>
            <w:tcW w:w="6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托管行提供的接收地址，接收本方发送的数据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0" w:name="_Toc9415"/>
      <w:r>
        <w:rPr>
          <w:rFonts w:hint="eastAsia"/>
          <w:lang w:val="en-US" w:eastAsia="zh-CN"/>
        </w:rPr>
        <w:t>挡板测试配置</w:t>
      </w:r>
      <w:bookmarkEnd w:id="30"/>
    </w:p>
    <w:p>
      <w:pPr>
        <w:pStyle w:val="3"/>
        <w:rPr>
          <w:rFonts w:hint="eastAsia"/>
          <w:lang w:val="en-US" w:eastAsia="zh-CN"/>
        </w:rPr>
      </w:pPr>
      <w:bookmarkStart w:id="31" w:name="_Toc225"/>
      <w:r>
        <w:rPr>
          <w:rFonts w:hint="eastAsia"/>
          <w:lang w:val="en-US" w:eastAsia="zh-CN"/>
        </w:rPr>
        <w:t>功能介绍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为了方便业务系统测试，伺服器提供挡板程序，会模仿托管行返回对账结果。</w:t>
      </w:r>
      <w:r>
        <w:rPr>
          <w:rFonts w:hint="eastAsia"/>
          <w:color w:val="FF0000"/>
          <w:lang w:val="en-US" w:eastAsia="zh-CN"/>
        </w:rPr>
        <w:t>（有需要才配置，无此需求，切勿配置）</w:t>
      </w:r>
    </w:p>
    <w:p>
      <w:pPr>
        <w:pStyle w:val="3"/>
        <w:rPr>
          <w:rFonts w:hint="eastAsia"/>
          <w:lang w:val="en-US" w:eastAsia="zh-CN"/>
        </w:rPr>
      </w:pPr>
      <w:bookmarkStart w:id="32" w:name="_Toc24546"/>
      <w:r>
        <w:rPr>
          <w:rFonts w:hint="eastAsia"/>
          <w:lang w:val="en-US" w:eastAsia="zh-CN"/>
        </w:rPr>
        <w:t>深证通方式</w:t>
      </w:r>
      <w:bookmarkEnd w:id="32"/>
    </w:p>
    <w:p>
      <w:pPr>
        <w:pStyle w:val="4"/>
        <w:rPr>
          <w:rFonts w:hint="eastAsia"/>
          <w:lang w:val="en-US" w:eastAsia="zh-CN"/>
        </w:rPr>
      </w:pPr>
      <w:bookmarkStart w:id="33" w:name="_Toc3748"/>
      <w:r>
        <w:rPr>
          <w:rFonts w:hint="eastAsia"/>
          <w:lang w:val="en-US" w:eastAsia="zh-CN"/>
        </w:rPr>
        <w:t>挡板配置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伺服器config.xml需要配置以下信息：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&lt;node id="" name="isDebug" value="是" desc=""/&gt;  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节点名称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isDebug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是否使用挡板模拟托管行返回对账报文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是否是作为挡板测试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935355" cy="668655"/>
                  <wp:effectExtent l="0" t="0" r="17145" b="17145"/>
                  <wp:docPr id="57" name="图片 57" descr="企业微信截图_15759688809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企业微信截图_1575968880914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355" cy="66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NOSN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使用挡板测试时，模拟托管行不返回报文序号的情况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目标userID-目标appID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挡板模拟无序号返回（电子对账使用）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934720" cy="651510"/>
                  <wp:effectExtent l="0" t="0" r="17780" b="15240"/>
                  <wp:docPr id="59" name="图片 59" descr="企业微信截图_1575968961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企业微信截图_157596896191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72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34" w:name="_Toc28155"/>
      <w:r>
        <w:rPr>
          <w:rFonts w:hint="eastAsia"/>
          <w:lang w:val="en-US" w:eastAsia="zh-CN"/>
        </w:rPr>
        <w:t>http方式</w:t>
      </w:r>
      <w:bookmarkEnd w:id="34"/>
    </w:p>
    <w:p>
      <w:pPr>
        <w:pStyle w:val="4"/>
        <w:rPr>
          <w:rFonts w:hint="eastAsia"/>
          <w:lang w:val="en-US" w:eastAsia="zh-CN"/>
        </w:rPr>
      </w:pPr>
      <w:bookmarkStart w:id="35" w:name="_Toc24660"/>
      <w:r>
        <w:rPr>
          <w:rFonts w:hint="eastAsia"/>
          <w:lang w:val="en-US" w:eastAsia="zh-CN"/>
        </w:rPr>
        <w:t>挡板配置</w:t>
      </w:r>
      <w:bookmarkEnd w:id="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HTTP发送设置：</w:t>
      </w:r>
    </w:p>
    <w:tbl>
      <w:tblPr>
        <w:tblStyle w:val="18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7"/>
        <w:gridCol w:w="2361"/>
        <w:gridCol w:w="2692"/>
        <w:gridCol w:w="2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23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21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3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自动填写</w:t>
            </w:r>
          </w:p>
        </w:tc>
        <w:tc>
          <w:tcPr>
            <w:tcW w:w="26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目标用户</w:t>
            </w:r>
          </w:p>
        </w:tc>
        <w:tc>
          <w:tcPr>
            <w:tcW w:w="23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目标源用户ID(UserId)</w:t>
            </w:r>
          </w:p>
        </w:tc>
        <w:tc>
          <w:tcPr>
            <w:tcW w:w="26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对方USERID</w:t>
            </w:r>
          </w:p>
        </w:tc>
        <w:tc>
          <w:tcPr>
            <w:tcW w:w="21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报文编码</w:t>
            </w:r>
          </w:p>
        </w:tc>
        <w:tc>
          <w:tcPr>
            <w:tcW w:w="23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报文的编码方式</w:t>
            </w:r>
          </w:p>
        </w:tc>
        <w:tc>
          <w:tcPr>
            <w:tcW w:w="26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GBK</w:t>
            </w:r>
          </w:p>
        </w:tc>
        <w:tc>
          <w:tcPr>
            <w:tcW w:w="21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URL</w:t>
            </w:r>
          </w:p>
        </w:tc>
        <w:tc>
          <w:tcPr>
            <w:tcW w:w="23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托管行提供的接收地址，接收本方发送的数据</w:t>
            </w:r>
          </w:p>
        </w:tc>
        <w:tc>
          <w:tcPr>
            <w:tcW w:w="26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http://127.0.0.1:端口/test/</w:t>
            </w:r>
          </w:p>
        </w:tc>
        <w:tc>
          <w:tcPr>
            <w:tcW w:w="21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200150" cy="967105"/>
                  <wp:effectExtent l="0" t="0" r="0" b="4445"/>
                  <wp:docPr id="5" name="图片 5" descr="企业微信截图_15759696236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企业微信截图_1575969623603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bookmarkStart w:id="36" w:name="_Toc7837"/>
      <w:r>
        <w:rPr>
          <w:rFonts w:hint="eastAsia"/>
          <w:lang w:val="en-US" w:eastAsia="zh-CN"/>
        </w:rPr>
        <w:t>配置文件说明</w:t>
      </w:r>
      <w:bookmarkEnd w:id="36"/>
    </w:p>
    <w:p>
      <w:pPr>
        <w:pStyle w:val="3"/>
        <w:rPr>
          <w:rFonts w:hint="eastAsia"/>
          <w:lang w:val="en-US" w:eastAsia="zh-CN"/>
        </w:rPr>
      </w:pPr>
      <w:bookmarkStart w:id="37" w:name="_Toc4214"/>
      <w:r>
        <w:rPr>
          <w:rFonts w:hint="eastAsia"/>
          <w:lang w:val="en-US" w:eastAsia="zh-CN"/>
        </w:rPr>
        <w:t>配置文件</w:t>
      </w:r>
      <w:bookmarkEnd w:id="37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3945890"/>
            <wp:effectExtent l="0" t="0" r="9525" b="16510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4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8" w:name="_Toc11964"/>
      <w:r>
        <w:rPr>
          <w:rFonts w:hint="eastAsia"/>
          <w:lang w:val="en-US" w:eastAsia="zh-CN"/>
        </w:rPr>
        <w:t>说明</w:t>
      </w:r>
      <w:bookmarkEnd w:id="38"/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节点名称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取值说明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maxSztThread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深证通接收线程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logPath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日志路径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outTime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与估值系统连接超时时间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outCount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与估值系统连接重试次数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testPath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测试路径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暂时未使用，可以不配置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sztIp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深证通MR所在机器ip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sztPort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深证通MR监听端口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1518920" cy="963295"/>
                  <wp:effectExtent l="0" t="0" r="5080" b="8255"/>
                  <wp:docPr id="12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920" cy="96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fromUser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本方userID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autoReStart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晚上是否重启伺服器，[只重启与深证通的链接不会重启与消息中心链接]  0不会  1会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abcUser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Value：农行USERID,desc:农行APPID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无需要不配置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hzbUser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杭州银行USERID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无需要不配置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maxSendThread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深证通发送线程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maxLogFileDay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报文日志文件保留最大天数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sztIp_bak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深证通备机IP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sztPort_bak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深证通备机端口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fromApp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Value:本方appId,desc:appid的发送密码（见备注）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1543050" cy="676275"/>
                  <wp:effectExtent l="0" t="0" r="0" b="9525"/>
                  <wp:docPr id="14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brokerIp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伺服器所在IP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21.6及以上版本，必须配置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brokerPort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不被占用的端口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21.6及以上版本，必须配置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isStartFastMq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0消息中心，1消息总线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socketServicePort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socket服务端端口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readMrLog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是否读取MR日志（是，否）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mrLogPath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MR日志文件路径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isDebug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是否是作为挡板测试（是，否）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NOSN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挡板模拟无序号返回（对方USERID-对方APPID）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coding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托管行编码格式设置(对方USERID:编码格式)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socket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对方USERID:对方IP:对方端口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uco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名称:估值IP:估值消息总线（中心端口）:true（false）:消息总线(消息中心)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21.5消息中心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21.6消息总线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fastMqPort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消息总线端口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21.6需要配置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httpServerIsStart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是否开启http服务器监听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httpServerPort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监听端口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httpClient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对方USERID&amp;lt;&amp;lt;::&amp;gt;&amp;gt;报文编码方式&amp;lt;&amp;lt;::&amp;gt;&amp;gt;对方接收地址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农行CCG对接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深证通MR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配置深圳通MR的ini文件（</w:t>
      </w:r>
      <w:r>
        <w:rPr>
          <w:rFonts w:hint="eastAsia"/>
          <w:sz w:val="24"/>
          <w:lang w:val="en-US" w:eastAsia="zh-CN"/>
        </w:rPr>
        <w:t>将农行提供的</w:t>
      </w:r>
      <w:r>
        <w:rPr>
          <w:rFonts w:hint="eastAsia"/>
          <w:sz w:val="24"/>
        </w:rPr>
        <w:t>appid</w:t>
      </w:r>
      <w:r>
        <w:rPr>
          <w:rFonts w:hint="eastAsia"/>
          <w:sz w:val="24"/>
          <w:lang w:val="en-US" w:eastAsia="zh-CN"/>
        </w:rPr>
        <w:t>配置在mr.ini中</w:t>
      </w:r>
      <w:r>
        <w:rPr>
          <w:rFonts w:hint="eastAsia"/>
          <w:sz w:val="24"/>
        </w:rPr>
        <w:t>，如果mr已经配置该appid则不需要再增加）；</w:t>
      </w:r>
    </w:p>
    <w:p>
      <w:pPr>
        <w:rPr>
          <w:rFonts w:hint="eastAsia"/>
          <w:sz w:val="24"/>
          <w:bdr w:val="single" w:color="auto" w:sz="4" w:space="0"/>
        </w:rPr>
      </w:pPr>
      <w:r>
        <w:rPr>
          <w:rFonts w:hint="eastAsia"/>
        </w:rPr>
        <w:drawing>
          <wp:inline distT="0" distB="0" distL="114300" distR="114300">
            <wp:extent cx="5272405" cy="3933190"/>
            <wp:effectExtent l="0" t="0" r="4445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bdr w:val="single" w:color="auto" w:sz="4" w:space="0"/>
          <w:lang w:val="en-US" w:eastAsia="zh-CN"/>
        </w:rPr>
      </w:pPr>
    </w:p>
    <w:p>
      <w:pPr>
        <w:rPr>
          <w:rFonts w:hint="eastAsia" w:eastAsiaTheme="minorEastAsia"/>
          <w:sz w:val="24"/>
          <w:bdr w:val="single" w:color="auto" w:sz="4" w:space="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农行CCG</w:t>
      </w:r>
    </w:p>
    <w:p>
      <w:pPr>
        <w:rPr>
          <w:bdr w:val="single" w:color="auto" w:sz="4" w:space="0"/>
        </w:rPr>
      </w:pPr>
      <w:r>
        <w:rPr>
          <w:bdr w:val="single" w:color="auto" w:sz="4" w:space="0"/>
        </w:rPr>
        <w:drawing>
          <wp:inline distT="0" distB="0" distL="114300" distR="114300">
            <wp:extent cx="5271770" cy="2522220"/>
            <wp:effectExtent l="0" t="0" r="5080" b="1143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dr w:val="single" w:color="auto" w:sz="4" w:space="0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1.配置CCG的IP，端口</w:t>
      </w:r>
    </w:p>
    <w:p>
      <w:pPr/>
      <w:r>
        <w:drawing>
          <wp:inline distT="0" distB="0" distL="114300" distR="114300">
            <wp:extent cx="5267960" cy="3253105"/>
            <wp:effectExtent l="0" t="0" r="8890" b="444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2.配置农行证书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</w:pPr>
      <w:r>
        <w:drawing>
          <wp:inline distT="0" distB="0" distL="114300" distR="114300">
            <wp:extent cx="5269230" cy="3660775"/>
            <wp:effectExtent l="0" t="0" r="7620" b="1587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3.配置伺服器配置文件config.xml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71520"/>
            <wp:effectExtent l="0" t="0" r="6350" b="5080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伺服器日志路径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伺服器日志位置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默认在c:\ysstech\log目录下，配置伺服器配置文件config.xml下面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787775"/>
            <wp:effectExtent l="0" t="0" r="12700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伺服器日志目录结构</w:t>
      </w:r>
    </w:p>
    <w:p>
      <w:pPr/>
      <w:r>
        <w:drawing>
          <wp:inline distT="0" distB="0" distL="114300" distR="114300">
            <wp:extent cx="5272405" cy="3119120"/>
            <wp:effectExtent l="0" t="0" r="4445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伺服器落地文件命名规则</w:t>
      </w:r>
    </w:p>
    <w:p>
      <w:pPr/>
      <w:r>
        <w:drawing>
          <wp:inline distT="0" distB="0" distL="114300" distR="114300">
            <wp:extent cx="5266055" cy="2651125"/>
            <wp:effectExtent l="0" t="0" r="10795" b="158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估值系统深证通报文路径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YSS_APP/yssperipheral目录下</w:t>
      </w:r>
    </w:p>
    <w:p>
      <w:pPr/>
      <w:r>
        <w:drawing>
          <wp:inline distT="0" distB="0" distL="114300" distR="114300">
            <wp:extent cx="5273675" cy="2571115"/>
            <wp:effectExtent l="0" t="0" r="3175" b="6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深证通MR日志路径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安装目录log文件夹下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09875"/>
            <wp:effectExtent l="0" t="0" r="8890" b="952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moder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4871490">
    <w:nsid w:val="0809F9C2"/>
    <w:multiLevelType w:val="multilevel"/>
    <w:tmpl w:val="0809F9C2"/>
    <w:lvl w:ilvl="0" w:tentative="1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1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1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1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1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1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1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840510041">
    <w:nsid w:val="A94EBE59"/>
    <w:multiLevelType w:val="singleLevel"/>
    <w:tmpl w:val="A94EBE59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82222049">
    <w:nsid w:val="BDACDAE1"/>
    <w:multiLevelType w:val="singleLevel"/>
    <w:tmpl w:val="BDACDAE1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69453340">
    <w:nsid w:val="EC990D1C"/>
    <w:multiLevelType w:val="singleLevel"/>
    <w:tmpl w:val="EC990D1C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16069140">
    <w:nsid w:val="E3749814"/>
    <w:multiLevelType w:val="singleLevel"/>
    <w:tmpl w:val="E3749814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5642393">
    <w:nsid w:val="1EBC1419"/>
    <w:multiLevelType w:val="multilevel"/>
    <w:tmpl w:val="1EBC1419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1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34871490"/>
  </w:num>
  <w:num w:numId="2">
    <w:abstractNumId w:val="2840510041"/>
  </w:num>
  <w:num w:numId="3">
    <w:abstractNumId w:val="3182222049"/>
  </w:num>
  <w:num w:numId="4">
    <w:abstractNumId w:val="3969453340"/>
  </w:num>
  <w:num w:numId="5">
    <w:abstractNumId w:val="3816069140"/>
  </w:num>
  <w:num w:numId="6">
    <w:abstractNumId w:val="5156423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2C0EEF"/>
    <w:rsid w:val="001B4C88"/>
    <w:rsid w:val="00501F2F"/>
    <w:rsid w:val="00816228"/>
    <w:rsid w:val="0231128E"/>
    <w:rsid w:val="031C2129"/>
    <w:rsid w:val="08194C67"/>
    <w:rsid w:val="08BB4FC8"/>
    <w:rsid w:val="09837606"/>
    <w:rsid w:val="0B04031B"/>
    <w:rsid w:val="0D6838EC"/>
    <w:rsid w:val="0D984DAE"/>
    <w:rsid w:val="0DDE59CC"/>
    <w:rsid w:val="0EB512EF"/>
    <w:rsid w:val="0F2F5785"/>
    <w:rsid w:val="0F874492"/>
    <w:rsid w:val="0FC4325D"/>
    <w:rsid w:val="11750FA6"/>
    <w:rsid w:val="143C2E0F"/>
    <w:rsid w:val="17F13E2B"/>
    <w:rsid w:val="19735719"/>
    <w:rsid w:val="19C46123"/>
    <w:rsid w:val="22705C83"/>
    <w:rsid w:val="254C405C"/>
    <w:rsid w:val="2A0F209C"/>
    <w:rsid w:val="2B1D06FA"/>
    <w:rsid w:val="2DDD3B82"/>
    <w:rsid w:val="2E80719C"/>
    <w:rsid w:val="2F4D0195"/>
    <w:rsid w:val="2F8B158C"/>
    <w:rsid w:val="30AB5151"/>
    <w:rsid w:val="329266A2"/>
    <w:rsid w:val="33A43184"/>
    <w:rsid w:val="33A82979"/>
    <w:rsid w:val="35BF7418"/>
    <w:rsid w:val="36FC03A6"/>
    <w:rsid w:val="38304729"/>
    <w:rsid w:val="391E6A3A"/>
    <w:rsid w:val="39F369CE"/>
    <w:rsid w:val="3EF62520"/>
    <w:rsid w:val="3F7179FD"/>
    <w:rsid w:val="41811545"/>
    <w:rsid w:val="42E70417"/>
    <w:rsid w:val="484C1D4B"/>
    <w:rsid w:val="49FD7628"/>
    <w:rsid w:val="4A1934AE"/>
    <w:rsid w:val="4A536AC8"/>
    <w:rsid w:val="4ACF1A82"/>
    <w:rsid w:val="4BF23BB1"/>
    <w:rsid w:val="4DE75827"/>
    <w:rsid w:val="4F4726AB"/>
    <w:rsid w:val="4FAA1F79"/>
    <w:rsid w:val="5252410B"/>
    <w:rsid w:val="55A91C5D"/>
    <w:rsid w:val="55C77154"/>
    <w:rsid w:val="57B8456A"/>
    <w:rsid w:val="585E3FB6"/>
    <w:rsid w:val="58CD43AB"/>
    <w:rsid w:val="59BD3E7A"/>
    <w:rsid w:val="5BB94192"/>
    <w:rsid w:val="5DA507C1"/>
    <w:rsid w:val="609441F6"/>
    <w:rsid w:val="61B04E04"/>
    <w:rsid w:val="61E60D38"/>
    <w:rsid w:val="621B548F"/>
    <w:rsid w:val="639641C4"/>
    <w:rsid w:val="64FD0C78"/>
    <w:rsid w:val="67290984"/>
    <w:rsid w:val="692C0EEF"/>
    <w:rsid w:val="69AA626E"/>
    <w:rsid w:val="69D40AFD"/>
    <w:rsid w:val="6EA103BC"/>
    <w:rsid w:val="70377A04"/>
    <w:rsid w:val="7154129A"/>
    <w:rsid w:val="72660F43"/>
    <w:rsid w:val="74157365"/>
    <w:rsid w:val="79037EF9"/>
    <w:rsid w:val="7E162539"/>
    <w:rsid w:val="7F66605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2019-01-03T05:57:00Z</dcterms:created>
  <dc:creator>liwenzhou</dc:creator>
  <cp:lastModifiedBy>lenovo</cp:lastModifiedBy>
  <dcterms:modified xsi:type="dcterms:W3CDTF">2021-07-05T05:12:23Z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