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赢时胜</w:t>
      </w:r>
      <w:r>
        <w:rPr>
          <w:rFonts w:hint="eastAsia"/>
          <w:b/>
          <w:bCs/>
          <w:sz w:val="48"/>
          <w:szCs w:val="48"/>
          <w:lang w:val="en-US" w:eastAsia="zh-CN"/>
        </w:rPr>
        <w:t>电子对账</w:t>
      </w:r>
      <w:r>
        <w:rPr>
          <w:rFonts w:hint="eastAsia"/>
          <w:b/>
          <w:bCs/>
          <w:sz w:val="48"/>
          <w:szCs w:val="48"/>
        </w:rPr>
        <w:t>管理软件V4.5</w:t>
      </w: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操作手册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rFonts w:ascii="楷体_GB2312"/>
          <w:b/>
          <w:sz w:val="32"/>
        </w:rPr>
      </w:pPr>
    </w:p>
    <w:p>
      <w:pPr>
        <w:jc w:val="center"/>
        <w:rPr>
          <w:rFonts w:ascii="楷体_GB2312"/>
          <w:b/>
          <w:sz w:val="32"/>
        </w:rPr>
      </w:pPr>
      <w:r>
        <w:rPr>
          <w:rFonts w:hint="eastAsia" w:ascii="楷体_GB2312"/>
          <w:b/>
          <w:sz w:val="32"/>
        </w:rPr>
        <w:t>文档修订记录</w:t>
      </w:r>
    </w:p>
    <w:tbl>
      <w:tblPr>
        <w:tblStyle w:val="14"/>
        <w:tblW w:w="92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549"/>
        <w:gridCol w:w="2569"/>
        <w:gridCol w:w="1276"/>
        <w:gridCol w:w="1159"/>
        <w:gridCol w:w="1186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5" w:hRule="atLeast"/>
          <w:jc w:val="center"/>
        </w:trPr>
        <w:tc>
          <w:tcPr>
            <w:tcW w:w="158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版本编号或者更改记录编号</w:t>
            </w:r>
          </w:p>
        </w:tc>
        <w:tc>
          <w:tcPr>
            <w:tcW w:w="549" w:type="dxa"/>
            <w:shd w:val="clear" w:color="auto" w:fill="D9D9D9"/>
            <w:vAlign w:val="center"/>
          </w:tcPr>
          <w:p>
            <w:pPr>
              <w:ind w:right="-107" w:rightChars="-51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变化状态</w:t>
            </w:r>
          </w:p>
        </w:tc>
        <w:tc>
          <w:tcPr>
            <w:tcW w:w="2569" w:type="dxa"/>
            <w:shd w:val="clear" w:color="auto" w:fill="D9D9D9"/>
            <w:vAlign w:val="center"/>
          </w:tcPr>
          <w:p>
            <w:pPr>
              <w:ind w:right="-107" w:rightChars="-51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简要说明</w:t>
            </w:r>
            <w:r>
              <w:rPr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变更内容和变更范围)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15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变更人</w:t>
            </w:r>
          </w:p>
        </w:tc>
        <w:tc>
          <w:tcPr>
            <w:tcW w:w="118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</w:t>
            </w:r>
          </w:p>
        </w:tc>
        <w:tc>
          <w:tcPr>
            <w:tcW w:w="915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</w:t>
            </w: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朱才骞</w:t>
            </w: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83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vAlign w:val="center"/>
          </w:tcPr>
          <w:p>
            <w:pPr>
              <w:spacing w:line="0" w:lineRule="atLeast"/>
              <w:ind w:right="731" w:rightChars="348"/>
              <w:jc w:val="center"/>
              <w:rPr>
                <w:sz w:val="18"/>
                <w:szCs w:val="18"/>
              </w:rPr>
            </w:pPr>
          </w:p>
        </w:tc>
        <w:tc>
          <w:tcPr>
            <w:tcW w:w="2569" w:type="dxa"/>
            <w:vAlign w:val="center"/>
          </w:tcPr>
          <w:p>
            <w:pPr>
              <w:spacing w:line="0" w:lineRule="atLeast"/>
              <w:ind w:right="731" w:rightChars="348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</w:tbl>
    <w:p>
      <w:pPr>
        <w:jc w:val="center"/>
        <w:rPr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变化状态：</w:t>
      </w:r>
      <w:r>
        <w:rPr>
          <w:szCs w:val="21"/>
        </w:rPr>
        <w:t>C-</w:t>
      </w:r>
      <w:r>
        <w:rPr>
          <w:rFonts w:hint="eastAsia"/>
          <w:szCs w:val="21"/>
        </w:rPr>
        <w:t>创建</w:t>
      </w:r>
      <w:r>
        <w:rPr>
          <w:szCs w:val="21"/>
        </w:rPr>
        <w:t>,A-</w:t>
      </w:r>
      <w:r>
        <w:rPr>
          <w:rFonts w:hint="eastAsia"/>
          <w:szCs w:val="21"/>
        </w:rPr>
        <w:t>新增</w:t>
      </w:r>
      <w:r>
        <w:rPr>
          <w:szCs w:val="21"/>
        </w:rPr>
        <w:t>,M-</w:t>
      </w:r>
      <w:r>
        <w:rPr>
          <w:rFonts w:hint="eastAsia"/>
          <w:szCs w:val="21"/>
        </w:rPr>
        <w:t>修改</w:t>
      </w:r>
      <w:r>
        <w:rPr>
          <w:szCs w:val="21"/>
        </w:rPr>
        <w:t>,D-</w:t>
      </w:r>
      <w:r>
        <w:rPr>
          <w:rFonts w:hint="eastAsia"/>
          <w:szCs w:val="21"/>
        </w:rPr>
        <w:t>删除</w:t>
      </w:r>
    </w:p>
    <w:p>
      <w:pPr>
        <w:jc w:val="center"/>
        <w:rPr>
          <w:rFonts w:ascii="楷体_GB2312"/>
          <w:b/>
          <w:sz w:val="32"/>
        </w:rPr>
      </w:pPr>
    </w:p>
    <w:p>
      <w:pPr>
        <w:rPr>
          <w:rFonts w:ascii="黑体" w:eastAsia="黑体"/>
          <w:sz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深圳</w:t>
      </w:r>
      <w:r>
        <w:rPr>
          <w:rFonts w:hint="eastAsia"/>
          <w:sz w:val="32"/>
          <w:szCs w:val="32"/>
        </w:rPr>
        <w:t>市赢时胜信息技术股份有限公司</w:t>
      </w: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32"/>
        </w:rPr>
      </w:pPr>
    </w:p>
    <w:p>
      <w:pPr>
        <w:pageBreakBefore/>
        <w:jc w:val="center"/>
        <w:rPr>
          <w:rFonts w:ascii="黑体" w:eastAsia="黑体"/>
          <w:sz w:val="44"/>
        </w:rPr>
      </w:pPr>
    </w:p>
    <w:p>
      <w:pPr>
        <w:jc w:val="center"/>
        <w:rPr>
          <w:rFonts w:ascii="黑体" w:eastAsia="黑体"/>
          <w:sz w:val="44"/>
        </w:rPr>
      </w:pPr>
      <w:r>
        <w:rPr>
          <w:rFonts w:hint="eastAsia" w:ascii="黑体" w:eastAsia="黑体"/>
          <w:sz w:val="44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 w:ascii="黑体" w:eastAsia="黑体"/>
          <w:sz w:val="44"/>
        </w:rPr>
        <w:fldChar w:fldCharType="begin"/>
      </w:r>
      <w:r>
        <w:rPr>
          <w:rFonts w:hint="eastAsia" w:ascii="黑体" w:eastAsia="黑体"/>
          <w:sz w:val="44"/>
        </w:rPr>
        <w:instrText xml:space="preserve">TOC \o "1-3" \h \u </w:instrText>
      </w:r>
      <w:r>
        <w:rPr>
          <w:rFonts w:hint="eastAsia" w:ascii="黑体" w:eastAsia="黑体"/>
          <w:sz w:val="44"/>
        </w:rPr>
        <w:fldChar w:fldCharType="separate"/>
      </w: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_Toc1108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功能描述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_Toc15270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流程</w:t>
      </w:r>
      <w:r>
        <w:tab/>
      </w:r>
      <w:r>
        <w:fldChar w:fldCharType="begin"/>
      </w:r>
      <w:r>
        <w:instrText xml:space="preserve"> PAGEREF _Toc15270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_Toc2619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2.1 电子对账流程</w:t>
      </w:r>
      <w:r>
        <w:tab/>
      </w:r>
      <w:r>
        <w:fldChar w:fldCharType="begin"/>
      </w:r>
      <w:r>
        <w:instrText xml:space="preserve"> PAGEREF _Toc2619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_Toc2768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2.2 操作流程图</w:t>
      </w:r>
      <w:r>
        <w:tab/>
      </w:r>
      <w:r>
        <w:fldChar w:fldCharType="begin"/>
      </w:r>
      <w:r>
        <w:instrText xml:space="preserve"> PAGEREF _Toc2768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_Toc9800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 详细功能模块描述</w:t>
      </w:r>
      <w:r>
        <w:tab/>
      </w:r>
      <w:r>
        <w:fldChar w:fldCharType="begin"/>
      </w:r>
      <w:r>
        <w:instrText xml:space="preserve"> PAGEREF _Toc9800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_Toc5546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3.1 深证通伺服器设置</w:t>
      </w:r>
      <w:r>
        <w:tab/>
      </w:r>
      <w:r>
        <w:fldChar w:fldCharType="begin"/>
      </w:r>
      <w:r>
        <w:instrText xml:space="preserve"> PAGEREF _Toc5546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_Toc30168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3.1.1 概述</w:t>
      </w:r>
      <w:r>
        <w:tab/>
      </w:r>
      <w:r>
        <w:fldChar w:fldCharType="begin"/>
      </w:r>
      <w:r>
        <w:instrText xml:space="preserve"> PAGEREF _Toc30168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_Toc12097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3.1.2 查询输入条件</w:t>
      </w:r>
      <w:r>
        <w:tab/>
      </w:r>
      <w:r>
        <w:fldChar w:fldCharType="begin"/>
      </w:r>
      <w:r>
        <w:instrText xml:space="preserve"> PAGEREF _Toc12097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_Toc1630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3.1.3 查询输出</w:t>
      </w:r>
      <w:r>
        <w:tab/>
      </w:r>
      <w:r>
        <w:fldChar w:fldCharType="begin"/>
      </w:r>
      <w:r>
        <w:instrText xml:space="preserve"> PAGEREF _Toc1630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_Toc876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3.1.4 界面操作项</w:t>
      </w:r>
      <w:r>
        <w:tab/>
      </w:r>
      <w:r>
        <w:fldChar w:fldCharType="begin"/>
      </w:r>
      <w:r>
        <w:instrText xml:space="preserve"> PAGEREF _Toc876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_Toc8126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3.1.5 </w:t>
      </w: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_Toc71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3.1.6 业务规则</w:t>
      </w:r>
      <w:r>
        <w:tab/>
      </w:r>
      <w:r>
        <w:fldChar w:fldCharType="begin"/>
      </w:r>
      <w:r>
        <w:instrText xml:space="preserve"> PAGEREF _Toc71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_Toc11873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3.2 电子对账参数设置</w:t>
      </w:r>
      <w:r>
        <w:tab/>
      </w:r>
      <w:r>
        <w:fldChar w:fldCharType="begin"/>
      </w:r>
      <w:r>
        <w:instrText xml:space="preserve"> PAGEREF _Toc11873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_Toc9314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3.2.1 概述</w:t>
      </w:r>
      <w:r>
        <w:tab/>
      </w:r>
      <w:r>
        <w:fldChar w:fldCharType="begin"/>
      </w:r>
      <w:r>
        <w:instrText xml:space="preserve"> PAGEREF _Toc9314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_Toc13086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3.2.2 查询输入条件</w:t>
      </w:r>
      <w:r>
        <w:tab/>
      </w:r>
      <w:r>
        <w:fldChar w:fldCharType="begin"/>
      </w:r>
      <w:r>
        <w:instrText xml:space="preserve"> PAGEREF _Toc13086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_Toc8097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3.2.3 查询输出</w:t>
      </w:r>
      <w:r>
        <w:tab/>
      </w:r>
      <w:r>
        <w:fldChar w:fldCharType="begin"/>
      </w:r>
      <w:r>
        <w:instrText xml:space="preserve"> PAGEREF _Toc8097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_Toc3878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3.2.4 界面操作项</w:t>
      </w:r>
      <w:r>
        <w:tab/>
      </w:r>
      <w:r>
        <w:fldChar w:fldCharType="begin"/>
      </w:r>
      <w:r>
        <w:instrText xml:space="preserve"> PAGEREF _Toc3878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_Toc25564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3.2.5 </w:t>
      </w: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_Toc25564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_Toc29846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 xml:space="preserve">3.2.6 </w:t>
      </w:r>
      <w:r>
        <w:rPr>
          <w:rFonts w:hint="eastAsia"/>
        </w:rPr>
        <w:t>业务</w:t>
      </w:r>
      <w:r>
        <w:rPr>
          <w:rFonts w:hint="eastAsia"/>
          <w:lang w:eastAsia="zh-CN"/>
        </w:rPr>
        <w:t>规则</w:t>
      </w:r>
      <w:r>
        <w:tab/>
      </w:r>
      <w:r>
        <w:fldChar w:fldCharType="begin"/>
      </w:r>
      <w:r>
        <w:instrText xml:space="preserve"> PAGEREF _Toc29846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_Toc27586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3.3 电子对账报表配置</w:t>
      </w:r>
      <w:r>
        <w:tab/>
      </w:r>
      <w:r>
        <w:fldChar w:fldCharType="begin"/>
      </w:r>
      <w:r>
        <w:instrText xml:space="preserve"> PAGEREF _Toc27586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_Toc18530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3.3.1 概述</w:t>
      </w:r>
      <w:r>
        <w:tab/>
      </w:r>
      <w:r>
        <w:fldChar w:fldCharType="begin"/>
      </w:r>
      <w:r>
        <w:instrText xml:space="preserve"> PAGEREF _Toc18530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_Toc29066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3.3.2 查询输入条件</w:t>
      </w:r>
      <w:r>
        <w:tab/>
      </w:r>
      <w:r>
        <w:fldChar w:fldCharType="begin"/>
      </w:r>
      <w:r>
        <w:instrText xml:space="preserve"> PAGEREF _Toc29066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_Toc26793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3.3.3 查询输出</w:t>
      </w:r>
      <w:r>
        <w:tab/>
      </w:r>
      <w:r>
        <w:fldChar w:fldCharType="begin"/>
      </w:r>
      <w:r>
        <w:instrText xml:space="preserve"> PAGEREF _Toc26793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_Toc23671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3.3.4 界面操作项</w:t>
      </w:r>
      <w:r>
        <w:tab/>
      </w:r>
      <w:r>
        <w:fldChar w:fldCharType="begin"/>
      </w:r>
      <w:r>
        <w:instrText xml:space="preserve"> PAGEREF _Toc23671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_Toc8894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3.3.5 </w:t>
      </w: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_Toc8894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_Toc9023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3.3.6 业务规则</w:t>
      </w:r>
      <w:r>
        <w:tab/>
      </w:r>
      <w:r>
        <w:fldChar w:fldCharType="begin"/>
      </w:r>
      <w:r>
        <w:instrText xml:space="preserve"> PAGEREF _Toc9023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_Toc15980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3.4 对账指标关联</w:t>
      </w:r>
      <w:r>
        <w:tab/>
      </w:r>
      <w:r>
        <w:fldChar w:fldCharType="begin"/>
      </w:r>
      <w:r>
        <w:instrText xml:space="preserve"> PAGEREF _Toc15980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_Toc4811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3.4.1 概述</w:t>
      </w:r>
      <w:r>
        <w:tab/>
      </w:r>
      <w:r>
        <w:fldChar w:fldCharType="begin"/>
      </w:r>
      <w:r>
        <w:instrText xml:space="preserve"> PAGEREF _Toc4811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_Toc28718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3.4.2 </w:t>
      </w:r>
      <w:r>
        <w:rPr>
          <w:rFonts w:hint="eastAsia"/>
          <w:lang w:val="en-US" w:eastAsia="zh-CN"/>
        </w:rPr>
        <w:t>指标关联设置</w:t>
      </w:r>
      <w:r>
        <w:tab/>
      </w:r>
      <w:r>
        <w:fldChar w:fldCharType="begin"/>
      </w:r>
      <w:r>
        <w:instrText xml:space="preserve"> PAGEREF _Toc28718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_Toc9204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3.4.3 </w:t>
      </w:r>
      <w:r>
        <w:rPr>
          <w:rFonts w:hint="eastAsia"/>
          <w:lang w:eastAsia="zh-CN"/>
        </w:rPr>
        <w:t>指标个性设置</w:t>
      </w:r>
      <w:r>
        <w:tab/>
      </w:r>
      <w:r>
        <w:fldChar w:fldCharType="begin"/>
      </w:r>
      <w:r>
        <w:instrText xml:space="preserve"> PAGEREF _Toc9204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_Toc21121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3.5 产生电子对账</w:t>
      </w:r>
      <w:r>
        <w:tab/>
      </w:r>
      <w:r>
        <w:fldChar w:fldCharType="begin"/>
      </w:r>
      <w:r>
        <w:instrText xml:space="preserve"> PAGEREF _Toc21121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_Toc8232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3.5.1 概述</w:t>
      </w:r>
      <w:r>
        <w:tab/>
      </w:r>
      <w:r>
        <w:fldChar w:fldCharType="begin"/>
      </w:r>
      <w:r>
        <w:instrText xml:space="preserve"> PAGEREF _Toc8232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_Toc18046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3.5.2 查询输出</w:t>
      </w:r>
      <w:r>
        <w:tab/>
      </w:r>
      <w:r>
        <w:fldChar w:fldCharType="begin"/>
      </w:r>
      <w:r>
        <w:instrText xml:space="preserve"> PAGEREF _Toc18046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_Toc5136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3.5.3 界面操作项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_Toc24137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 xml:space="preserve">3.5.4 </w:t>
      </w: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_Toc24137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_Toc18622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3.5.5 业务规则</w:t>
      </w:r>
      <w:r>
        <w:tab/>
      </w:r>
      <w:r>
        <w:fldChar w:fldCharType="begin"/>
      </w:r>
      <w:r>
        <w:instrText xml:space="preserve"> PAGEREF _Toc18622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_Toc18478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3.6 电子对账管理</w:t>
      </w:r>
      <w:r>
        <w:tab/>
      </w:r>
      <w:r>
        <w:fldChar w:fldCharType="begin"/>
      </w:r>
      <w:r>
        <w:instrText xml:space="preserve"> PAGEREF _Toc18478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_Toc32487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val="en-US" w:eastAsia="zh-CN"/>
        </w:rPr>
        <w:t>3.6.1 概述</w:t>
      </w:r>
      <w:r>
        <w:tab/>
      </w:r>
      <w:r>
        <w:fldChar w:fldCharType="begin"/>
      </w:r>
      <w:r>
        <w:instrText xml:space="preserve"> PAGEREF _Toc32487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_Toc10070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3.6.2 查询输出</w:t>
      </w:r>
      <w:r>
        <w:tab/>
      </w:r>
      <w:r>
        <w:fldChar w:fldCharType="begin"/>
      </w:r>
      <w:r>
        <w:instrText xml:space="preserve"> PAGEREF _Toc10070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_Toc17704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3.6.3 界面操作项</w:t>
      </w:r>
      <w:r>
        <w:tab/>
      </w:r>
      <w:r>
        <w:fldChar w:fldCharType="begin"/>
      </w:r>
      <w:r>
        <w:instrText xml:space="preserve"> PAGEREF _Toc17704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_Toc28543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3.6.4 处理流程图</w:t>
      </w:r>
      <w:r>
        <w:tab/>
      </w:r>
      <w:r>
        <w:fldChar w:fldCharType="begin"/>
      </w:r>
      <w:r>
        <w:instrText xml:space="preserve"> PAGEREF _Toc28543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_Toc18816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  <w:lang w:eastAsia="zh-CN"/>
        </w:rPr>
        <w:t>3.6.5 界面原型图</w:t>
      </w:r>
      <w:r>
        <w:tab/>
      </w:r>
      <w:r>
        <w:fldChar w:fldCharType="begin"/>
      </w:r>
      <w:r>
        <w:instrText xml:space="preserve"> PAGEREF _Toc18816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HYPERLINK \l _Toc17183 </w:instrText>
      </w:r>
      <w:r>
        <w:rPr>
          <w:rFonts w:hint="eastAsia" w:ascii="黑体" w:eastAsia="黑体"/>
        </w:rPr>
        <w:fldChar w:fldCharType="separate"/>
      </w:r>
      <w:r>
        <w:rPr>
          <w:rFonts w:hint="eastAsia"/>
        </w:rPr>
        <w:t>3.6.6 业务规则</w:t>
      </w:r>
      <w:r>
        <w:tab/>
      </w:r>
      <w:r>
        <w:fldChar w:fldCharType="begin"/>
      </w:r>
      <w:r>
        <w:instrText xml:space="preserve"> PAGEREF _Toc17183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eastAsia="黑体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eastAsia="黑体"/>
        </w:rPr>
        <w:fldChar w:fldCharType="end"/>
      </w:r>
    </w:p>
    <w:p>
      <w:pPr>
        <w:pStyle w:val="2"/>
      </w:pPr>
      <w:bookmarkStart w:id="0" w:name="_Toc1108"/>
      <w:r>
        <w:rPr>
          <w:rFonts w:hint="eastAsia"/>
          <w:lang w:eastAsia="zh-CN"/>
        </w:rPr>
        <w:t>功能描述</w:t>
      </w:r>
      <w:bookmarkEnd w:id="0"/>
    </w:p>
    <w:p>
      <w:pPr>
        <w:pStyle w:val="8"/>
        <w:ind w:firstLine="420"/>
        <w:rPr>
          <w:rFonts w:hint="eastAsia" w:eastAsiaTheme="minorEastAsia"/>
          <w:i w:val="0"/>
          <w:iCs/>
          <w:sz w:val="28"/>
          <w:szCs w:val="28"/>
          <w:lang w:eastAsia="zh-CN"/>
        </w:rPr>
      </w:pPr>
      <w:r>
        <w:rPr>
          <w:rFonts w:hint="eastAsia"/>
          <w:i w:val="0"/>
          <w:iCs/>
          <w:sz w:val="28"/>
          <w:szCs w:val="28"/>
          <w:lang w:eastAsia="zh-CN"/>
        </w:rPr>
        <w:t>业务人员通过深证通伺服器发送电子对账数据至托管行进行对账，托管行通过深证通伺服器返回对账结果（电子对账数据与托管行数据对账一致或不一致）</w:t>
      </w:r>
    </w:p>
    <w:p>
      <w:pPr>
        <w:pStyle w:val="2"/>
      </w:pPr>
      <w:bookmarkStart w:id="1" w:name="_Toc15270"/>
      <w:r>
        <w:rPr>
          <w:rFonts w:hint="eastAsia"/>
          <w:lang w:eastAsia="zh-CN"/>
        </w:rPr>
        <w:t>操作</w:t>
      </w:r>
      <w:r>
        <w:rPr>
          <w:rFonts w:hint="eastAsia"/>
        </w:rPr>
        <w:t>流程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19"/>
      <w:r>
        <w:rPr>
          <w:rFonts w:hint="eastAsia"/>
          <w:lang w:val="en-US" w:eastAsia="zh-CN"/>
        </w:rPr>
        <w:t>电子对账流程</w:t>
      </w:r>
      <w:bookmarkEnd w:id="2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步骤1：前提：估值4.5系统估值报表生成、统计分析、财务报表生成完毕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步骤2：深证通伺服器设置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步骤3：电子对账参数设置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步骤4：电子对账报表配置（财务报表配置）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步骤5：对账指标关联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 xml:space="preserve">步骤6：选择组合、日期生成电子对账数据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步骤7：发送电子对账数据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sz w:val="28"/>
          <w:szCs w:val="28"/>
          <w:lang w:val="en-US" w:eastAsia="zh-CN"/>
        </w:rPr>
        <w:t>步骤8：接收托管行反馈信息（对账一致或对账不一致）</w:t>
      </w:r>
    </w:p>
    <w:p>
      <w:pPr>
        <w:pStyle w:val="3"/>
        <w:rPr>
          <w:rFonts w:hint="eastAsia"/>
          <w:lang w:val="en-US" w:eastAsia="zh-CN"/>
        </w:rPr>
      </w:pPr>
      <w:bookmarkStart w:id="3" w:name="_Toc2768"/>
      <w:r>
        <w:rPr>
          <w:rFonts w:hint="eastAsia"/>
          <w:lang w:val="en-US" w:eastAsia="zh-CN"/>
        </w:rPr>
        <w:t>操作流程图</w:t>
      </w:r>
      <w:bookmarkEnd w:id="3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0575" cy="680085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/>
          <w:lang w:val="en-US" w:eastAsia="zh-CN"/>
        </w:rPr>
      </w:pPr>
    </w:p>
    <w:p>
      <w:pPr/>
    </w:p>
    <w:p>
      <w:pPr>
        <w:pStyle w:val="2"/>
      </w:pPr>
      <w:bookmarkStart w:id="4" w:name="_Toc9800"/>
      <w:r>
        <w:rPr>
          <w:rFonts w:hint="eastAsia"/>
        </w:rPr>
        <w:t>详细功能模块描述</w:t>
      </w:r>
      <w:bookmarkEnd w:id="4"/>
    </w:p>
    <w:p>
      <w:pPr>
        <w:pStyle w:val="3"/>
        <w:jc w:val="both"/>
        <w:rPr>
          <w:rFonts w:hint="eastAsia"/>
          <w:lang w:val="en-US" w:eastAsia="zh-CN"/>
        </w:rPr>
      </w:pPr>
      <w:bookmarkStart w:id="5" w:name="_Toc5546"/>
      <w:r>
        <w:rPr>
          <w:rFonts w:hint="eastAsia"/>
          <w:lang w:val="en-US" w:eastAsia="zh-CN"/>
        </w:rPr>
        <w:t>深证通伺服器设置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30168"/>
      <w:r>
        <w:rPr>
          <w:rFonts w:hint="eastAsia"/>
          <w:lang w:val="en-US" w:eastAsia="zh-CN"/>
        </w:rPr>
        <w:t>概述</w:t>
      </w:r>
      <w:bookmarkEnd w:id="6"/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i w:val="0"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该菜单的功能用于设置本方深证通账户信息（源USERID，源APPID，APPID发送密码以及伺服器程序的ip地址和端口。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伺服器主备信息可以配置多个，用于对接多个伺服器程序，优先发送至“主机”伺服器。</w:t>
      </w:r>
    </w:p>
    <w:p>
      <w:pPr>
        <w:pStyle w:val="4"/>
      </w:pPr>
      <w:bookmarkStart w:id="7" w:name="_Toc8126"/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bookmarkEnd w:id="7"/>
    </w:p>
    <w:p>
      <w:pPr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76005" cy="4077335"/>
            <wp:effectExtent l="0" t="0" r="10795" b="1206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600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3524250"/>
            <wp:effectExtent l="0" t="0" r="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输入参数</w:t>
      </w:r>
    </w:p>
    <w:tbl>
      <w:tblPr>
        <w:tblStyle w:val="14"/>
        <w:tblpPr w:leftFromText="180" w:rightFromText="180" w:vertAnchor="text" w:horzAnchor="page" w:tblpX="1789" w:tblpY="883"/>
        <w:tblOverlap w:val="never"/>
        <w:tblW w:w="8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997"/>
        <w:gridCol w:w="997"/>
        <w:gridCol w:w="997"/>
        <w:gridCol w:w="997"/>
        <w:gridCol w:w="1149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bookmarkStart w:id="8" w:name="_Toc12097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表现形式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数据约束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参数代码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唯一性约束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参数名称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源UserId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本方深证通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源AppId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本方深证通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appid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发送密码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本方深证通appid对应发送密码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主备标识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设置主备机伺服器（优先发送主机）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连接IP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伺服器所在机器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连接Port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伺服器开放连接端口</w:t>
            </w:r>
          </w:p>
        </w:tc>
      </w:tr>
      <w:bookmarkEnd w:id="8"/>
    </w:tbl>
    <w:p>
      <w:pPr/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参数代码：可自己定义 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参数名称：可自己定义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源UserId：管理人的USERID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源AppId：管理人的APPID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发送密码：管理人的APPID对应配置在mr.ini的APPINFO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公司ID: 托管人分配给管理人的公司代码，工行必须填写正确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证书ID: 托管人分配给管理人的证书ID，民生银行必须填写正确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主备标识：伺服器主备机设置，优先发送至主机，主机不通，发送备机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连接IP: 伺服器所在电脑IP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连接PORT：伺服器开放的监听端口</w:t>
      </w:r>
    </w:p>
    <w:p>
      <w:pPr/>
    </w:p>
    <w:p>
      <w:pPr>
        <w:pStyle w:val="3"/>
        <w:rPr>
          <w:rFonts w:hint="eastAsia"/>
          <w:lang w:val="en-US" w:eastAsia="zh-CN"/>
        </w:rPr>
      </w:pPr>
      <w:bookmarkStart w:id="9" w:name="_Toc11873"/>
      <w:r>
        <w:rPr>
          <w:rFonts w:hint="eastAsia"/>
          <w:lang w:val="en-US" w:eastAsia="zh-CN"/>
        </w:rPr>
        <w:t>电子对账参数设置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9314"/>
      <w:r>
        <w:rPr>
          <w:rFonts w:hint="eastAsia"/>
          <w:lang w:val="en-US" w:eastAsia="zh-CN"/>
        </w:rPr>
        <w:t>概述</w:t>
      </w:r>
      <w:bookmarkEnd w:id="10"/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i w:val="0"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该菜单的功能用于配置对接的托管机构的深证通账户信息（目标USERID，目标APPID，公司代码，证书代码）及选择本方使用哪个深证通账户与托管机构对接。</w:t>
      </w:r>
    </w:p>
    <w:p>
      <w:pPr>
        <w:pStyle w:val="4"/>
      </w:pPr>
      <w:bookmarkStart w:id="11" w:name="_Toc25564"/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bookmarkEnd w:id="11"/>
    </w:p>
    <w:p>
      <w:pPr/>
      <w:r>
        <w:drawing>
          <wp:inline distT="0" distB="0" distL="114300" distR="114300">
            <wp:extent cx="6171565" cy="2988310"/>
            <wp:effectExtent l="0" t="0" r="63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输入参数</w:t>
      </w:r>
    </w:p>
    <w:tbl>
      <w:tblPr>
        <w:tblStyle w:val="14"/>
        <w:tblW w:w="8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997"/>
        <w:gridCol w:w="997"/>
        <w:gridCol w:w="997"/>
        <w:gridCol w:w="997"/>
        <w:gridCol w:w="997"/>
        <w:gridCol w:w="2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表现形式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数据约束</w:t>
            </w: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机构名称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农业银行、中国银行、交通银行等托管机构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电子对账、银企直连、电子指令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通讯类型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深证通、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socket、互联网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对账模式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否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通用对账模式、工行对账模式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目标UserID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目标用户深证通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目标AppID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目标用户深证通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AppID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估值表发送模式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发送估增科目、不发送估增科目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重发次数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数字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重发间隔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数字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深证通伺服器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深证通伺服器设置中配置的参数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是否应用分机构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是、否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公司代码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托管行标识管理公司的公司代码，民生银行、工行必输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科目名称长度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t>托管行对科目名称长度有要求时，发送托管从后往前截取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托管机构：托管机构代码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业务类型：电子对账或电子指令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通讯类型：深证通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socket、http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对账模式：通用模式，若托管行为工商银行，则选择工行模式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目标UserId：托管人的USERID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目标AppId：托管人的APPID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公司代码: 托管人分配给管理人的公司代码，工行必须填写正确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估值表发送模式：发送估值表时是否发送估增科目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重发间隔：发送电子对账是重发间隔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重发次数：发送失败，重发次数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是否应用分机构：该配置是否该分级机构可共用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深圳通伺服器：关联伺服器的配置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管理人：该配置是否只应用于某个管理人（默认为空）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7586"/>
      <w:r>
        <w:rPr>
          <w:rFonts w:hint="eastAsia"/>
          <w:lang w:val="en-US" w:eastAsia="zh-CN"/>
        </w:rPr>
        <w:t>电子对账报表配置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8530"/>
      <w:r>
        <w:rPr>
          <w:rFonts w:hint="eastAsia"/>
          <w:lang w:val="en-US" w:eastAsia="zh-CN"/>
        </w:rPr>
        <w:t>概述</w:t>
      </w:r>
      <w:bookmarkEnd w:id="13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设置与电子对账财务报表关联的估值系统财务报表，如果设置了组合信息那就只有特定组合可以用，如果不设置组合信息那就对所有组合都有效。</w:t>
      </w:r>
    </w:p>
    <w:p>
      <w:pPr>
        <w:pStyle w:val="4"/>
      </w:pPr>
      <w:bookmarkStart w:id="14" w:name="_Toc8894"/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bookmarkEnd w:id="14"/>
    </w:p>
    <w:p>
      <w:pPr/>
      <w:r>
        <w:drawing>
          <wp:inline distT="0" distB="0" distL="114300" distR="114300">
            <wp:extent cx="5260340" cy="2610485"/>
            <wp:effectExtent l="0" t="0" r="1651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输入参数</w:t>
      </w:r>
    </w:p>
    <w:tbl>
      <w:tblPr>
        <w:tblStyle w:val="14"/>
        <w:tblW w:w="8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997"/>
        <w:gridCol w:w="997"/>
        <w:gridCol w:w="997"/>
        <w:gridCol w:w="997"/>
        <w:gridCol w:w="1149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表现形式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数据约束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机构名称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交通银行、工商银行、中国银行等托管机构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电子对账报表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397"/>
              </w:tabs>
              <w:ind w:firstLine="180" w:firstLineChars="10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估值表、科目表、余额表、利润表、所有者权益（基金净值）变动表、资产负债表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财务报表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利润表、所有者权益变动表、资产负债表等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投资组合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产品组合</w:t>
            </w:r>
          </w:p>
        </w:tc>
      </w:tr>
    </w:tbl>
    <w:p>
      <w:pPr/>
    </w:p>
    <w:p>
      <w:pPr>
        <w:pStyle w:val="3"/>
      </w:pPr>
      <w:bookmarkStart w:id="15" w:name="_Toc15980"/>
      <w:r>
        <w:rPr>
          <w:rFonts w:hint="eastAsia"/>
        </w:rPr>
        <w:t>对账指标关联</w:t>
      </w:r>
      <w:bookmarkEnd w:id="15"/>
    </w:p>
    <w:p>
      <w:pPr>
        <w:pStyle w:val="4"/>
      </w:pPr>
      <w:bookmarkStart w:id="16" w:name="_Toc4811"/>
      <w:r>
        <w:rPr>
          <w:rFonts w:hint="eastAsia"/>
        </w:rPr>
        <w:t>概述</w:t>
      </w:r>
      <w:bookmarkEnd w:id="16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1.指标关联设置：设置各指标项的指标代码、指标名称等元素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2.指标个性设置：设置个性化指标项（比如设置某个指标的数量、成本、市值、行情等指标元素不生成。也可以设置某个指标项不发送。）。如果设置了组合信息那就只对特定组合起作用，如果不设置组合信息那就对所有组合都有效。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</w:pPr>
      <w:bookmarkStart w:id="17" w:name="_Toc28718"/>
      <w:r>
        <w:rPr>
          <w:rFonts w:hint="eastAsia"/>
          <w:lang w:val="en-US" w:eastAsia="zh-CN"/>
        </w:rPr>
        <w:t>公共指标关联</w:t>
      </w:r>
      <w:bookmarkEnd w:id="17"/>
    </w:p>
    <w:p>
      <w:pPr/>
    </w:p>
    <w:p>
      <w:pPr>
        <w:pStyle w:val="5"/>
      </w:pP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</w:p>
    <w:p>
      <w:pPr/>
      <w:r>
        <w:drawing>
          <wp:inline distT="0" distB="0" distL="114300" distR="114300">
            <wp:extent cx="5266690" cy="2625090"/>
            <wp:effectExtent l="0" t="0" r="1016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输入参数</w:t>
      </w:r>
    </w:p>
    <w:tbl>
      <w:tblPr>
        <w:tblStyle w:val="14"/>
        <w:tblW w:w="8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997"/>
        <w:gridCol w:w="997"/>
        <w:gridCol w:w="997"/>
        <w:gridCol w:w="997"/>
        <w:gridCol w:w="1149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表现形式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数据约束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指标代码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数字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指标名称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文字框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对账类型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bookmarkStart w:id="29" w:name="_GoBack"/>
            <w:bookmarkEnd w:id="29"/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估值表、科目表、余额表、利润表、所有者权益变动表、资产负债表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分级类型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  <w:t>费率类型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、费率类型(RQFII)、创新类型、币种类型、中港类型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分级级别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费率类型：申购赎回份额、销售费率份额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费率类型(RQFII)：基准份额、普通份额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创新类型：优先级别、普通级别、进取级别、看涨级别、看跌级别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币种类型：组合货币、非组合货币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中港类型：组合货币、非组合货币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分级组合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各组合的分级组合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指标项名称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资产净值、单位净值、期初单位净值等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托管行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交通银行、中国银行等托管机构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8" w:name="_Toc9204"/>
      <w:r>
        <w:rPr>
          <w:rFonts w:hint="eastAsia"/>
          <w:lang w:eastAsia="zh-CN"/>
        </w:rPr>
        <w:t>个性指标</w:t>
      </w:r>
      <w:bookmarkEnd w:id="18"/>
      <w:r>
        <w:rPr>
          <w:rFonts w:hint="eastAsia"/>
          <w:lang w:eastAsia="zh-CN"/>
        </w:rPr>
        <w:t>关联</w:t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</w:pPr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</w:p>
    <w:p>
      <w:pPr/>
      <w:r>
        <w:drawing>
          <wp:inline distT="0" distB="0" distL="114300" distR="114300">
            <wp:extent cx="5262245" cy="25711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输入参数</w:t>
      </w:r>
    </w:p>
    <w:tbl>
      <w:tblPr>
        <w:tblStyle w:val="14"/>
        <w:tblW w:w="8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997"/>
        <w:gridCol w:w="997"/>
        <w:gridCol w:w="997"/>
        <w:gridCol w:w="997"/>
        <w:gridCol w:w="1149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表现形式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数据约束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对账指标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资产净值、单位净值、期初单位净值等指标项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投资组合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产品组合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是否发送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eastAsia="zh-CN"/>
              </w:rPr>
              <w:t>下拉框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是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是、否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元素名称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字符（C）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勾选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否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数量、成本、市值、行情、估值增值、成本占净值比、市值占净值比</w:t>
            </w:r>
          </w:p>
        </w:tc>
      </w:tr>
    </w:tbl>
    <w:p>
      <w:pPr>
        <w:pStyle w:val="8"/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1121"/>
      <w:r>
        <w:rPr>
          <w:rFonts w:hint="eastAsia"/>
          <w:lang w:val="en-US" w:eastAsia="zh-CN"/>
        </w:rPr>
        <w:t>产生电子对账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8232"/>
      <w:r>
        <w:rPr>
          <w:rFonts w:hint="eastAsia"/>
          <w:lang w:val="en-US" w:eastAsia="zh-CN"/>
        </w:rPr>
        <w:t>概述</w:t>
      </w:r>
      <w:bookmarkEnd w:id="20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选择组合、日期、报表名称（日报、月报、季报、半年报、年报）点击执行生成电子对账报表。</w:t>
      </w:r>
    </w:p>
    <w:p>
      <w:pPr>
        <w:pStyle w:val="4"/>
      </w:pPr>
      <w:bookmarkStart w:id="21" w:name="_Toc24137"/>
      <w:r>
        <w:rPr>
          <w:rFonts w:hint="eastAsia"/>
          <w:lang w:eastAsia="zh-CN"/>
        </w:rPr>
        <w:t>界面原型</w:t>
      </w:r>
      <w:r>
        <w:rPr>
          <w:rFonts w:hint="eastAsia"/>
        </w:rPr>
        <w:t>图</w:t>
      </w:r>
      <w:bookmarkEnd w:id="21"/>
    </w:p>
    <w:p>
      <w:pPr/>
      <w:r>
        <w:drawing>
          <wp:inline distT="0" distB="0" distL="114300" distR="114300">
            <wp:extent cx="5257800" cy="2536825"/>
            <wp:effectExtent l="0" t="0" r="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18622"/>
      <w:r>
        <w:rPr>
          <w:rFonts w:hint="eastAsia"/>
        </w:rPr>
        <w:t>业务规则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1.点击日志按钮，可以查看某一天执行过的所有数据的执行结果。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8478"/>
      <w:r>
        <w:rPr>
          <w:rFonts w:hint="eastAsia"/>
          <w:lang w:val="en-US" w:eastAsia="zh-CN"/>
        </w:rPr>
        <w:t>电子对账管理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32487"/>
      <w:r>
        <w:rPr>
          <w:rFonts w:hint="eastAsia"/>
          <w:lang w:val="en-US" w:eastAsia="zh-CN"/>
        </w:rPr>
        <w:t>概述</w:t>
      </w:r>
      <w:bookmarkEnd w:id="24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1.未生成页面：显示查询组合在选定日期内所有的未生成数据（可以选择数据点击生成）。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2.待发送页面：显示查询组合在选定日期内已生成的所有数据（可以选择数据点击发送）。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3.发送未完成页面：显示已发送的没有设置电子对账参数的数据。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4.等待托管反馈页面：显示已发送成功但托管行没有返回信息的数据。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5.反馈不一致页面：显示已发送成功但托管行反馈对账不一致的数据。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6.反馈一致页面：显示已发送成功并且托管行反馈对账一致的数据。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/>
          <w:lang w:val="en-US" w:eastAsia="zh-CN"/>
        </w:rPr>
      </w:pPr>
      <w:r>
        <w:rPr>
          <w:rFonts w:hint="eastAsia"/>
          <w:b w:val="0"/>
          <w:bCs w:val="0"/>
          <w:i w:val="0"/>
          <w:iCs/>
          <w:lang w:val="en-US" w:eastAsia="zh-CN"/>
        </w:rPr>
        <w:t>7.总览页面：显示所有未生成、已生成、发送未完成、等待托管反馈、对账一致、对账不一致数据。</w:t>
      </w:r>
    </w:p>
    <w:p>
      <w:pPr>
        <w:pStyle w:val="4"/>
        <w:rPr>
          <w:rFonts w:hint="eastAsia"/>
        </w:rPr>
      </w:pPr>
      <w:bookmarkStart w:id="25" w:name="_Toc10070"/>
      <w:r>
        <w:rPr>
          <w:rFonts w:hint="eastAsia"/>
        </w:rPr>
        <w:t>查询输出</w:t>
      </w:r>
      <w:bookmarkEnd w:id="2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发送成功或失败</w:t>
      </w:r>
    </w:p>
    <w:p>
      <w:pPr>
        <w:pStyle w:val="4"/>
        <w:rPr>
          <w:rFonts w:hint="eastAsia"/>
          <w:lang w:eastAsia="zh-CN"/>
        </w:rPr>
      </w:pPr>
      <w:bookmarkStart w:id="26" w:name="_Toc17704"/>
      <w:r>
        <w:rPr>
          <w:rFonts w:hint="eastAsia"/>
          <w:lang w:eastAsia="zh-CN"/>
        </w:rPr>
        <w:t>界面操作项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生成功能：勾选未生成数据点击生成，跳转至产生电子对账界面。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对账一致功能：勾选对账不一致的数据，点击对账一致，弹出操作界面，保存成功，数据变成对账一致数据。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其他对账功能：勾选数据点击其他对账，该数据所在组合添加至其他对账页面。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解除限制功能：勾选组合点击解除限制，该组合开放对账功能。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发送功能：勾选已生成数据点击发送，数据通过深证通伺服器发展托管行。</w:t>
      </w:r>
    </w:p>
    <w:p>
      <w:pPr>
        <w:rPr>
          <w:rFonts w:hint="eastAsia"/>
        </w:rPr>
      </w:pPr>
      <w:r>
        <w:rPr>
          <w:rFonts w:hint="eastAsia"/>
        </w:rPr>
        <w:t>审核功能：选择要审核的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数据，单击“审核”按钮，将未审核的数据进行审核。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反审核功能：选择要反审核的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数据，单击“反审核”按钮，将以审核的数据变为未审核状态。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删除功能：</w:t>
      </w:r>
      <w:r>
        <w:rPr>
          <w:rFonts w:hint="eastAsia"/>
        </w:rPr>
        <w:t>选择要删除的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数据，单击“删除”按钮，删除选择的数据。</w:t>
      </w:r>
    </w:p>
    <w:p>
      <w:pPr>
        <w:rPr>
          <w:rFonts w:hint="eastAsia"/>
        </w:rPr>
      </w:pPr>
      <w:r>
        <w:rPr>
          <w:rFonts w:hint="eastAsia"/>
        </w:rPr>
        <w:t>导出功能：选择要导出的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数据，单击“导出”按钮，导出选择的数据。</w:t>
      </w:r>
    </w:p>
    <w:p>
      <w:pPr>
        <w:rPr>
          <w:rFonts w:hint="eastAsia"/>
        </w:rPr>
      </w:pPr>
      <w:r>
        <w:rPr>
          <w:rFonts w:hint="eastAsia"/>
        </w:rPr>
        <w:t>打印功能：选择要打印的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数据，单击“打印”按钮，打印选择的数据。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查询功能：选择或输入筛选条件，单击“查询”按钮，查询符合条件的</w:t>
      </w:r>
      <w:r>
        <w:rPr>
          <w:rFonts w:hint="eastAsia"/>
          <w:lang w:eastAsia="zh-CN"/>
        </w:rPr>
        <w:t>对账</w:t>
      </w:r>
      <w:r>
        <w:rPr>
          <w:rFonts w:hint="eastAsia"/>
        </w:rPr>
        <w:t>数据。</w:t>
      </w:r>
    </w:p>
    <w:p>
      <w:pPr>
        <w:rPr>
          <w:rFonts w:hint="eastAsia"/>
          <w:lang w:eastAsia="zh-CN"/>
        </w:rPr>
      </w:pPr>
    </w:p>
    <w:p>
      <w:pPr>
        <w:pStyle w:val="4"/>
      </w:pPr>
      <w:bookmarkStart w:id="27" w:name="_Toc28543"/>
      <w:r>
        <w:rPr>
          <w:rFonts w:hint="eastAsia"/>
        </w:rPr>
        <w:t>处理流程图</w:t>
      </w:r>
      <w:bookmarkEnd w:id="27"/>
    </w:p>
    <w:p>
      <w:pPr/>
      <w:r>
        <w:drawing>
          <wp:inline distT="0" distB="0" distL="114300" distR="114300">
            <wp:extent cx="5180965" cy="5542915"/>
            <wp:effectExtent l="0" t="0" r="63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28" w:name="_Toc18816"/>
      <w:r>
        <w:rPr>
          <w:rFonts w:hint="eastAsia"/>
          <w:lang w:eastAsia="zh-CN"/>
        </w:rPr>
        <w:t>界面原型图</w:t>
      </w:r>
      <w:bookmarkEnd w:id="28"/>
    </w:p>
    <w:p>
      <w:pPr>
        <w:rPr>
          <w:rFonts w:hint="eastAsia" w:eastAsiaTheme="minorEastAsia"/>
          <w:lang w:eastAsia="zh-CN"/>
        </w:rPr>
      </w:pPr>
    </w:p>
    <w:p>
      <w:pPr/>
      <w:r>
        <w:drawing>
          <wp:inline distT="0" distB="0" distL="114300" distR="114300">
            <wp:extent cx="5269865" cy="254825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555281">
    <w:nsid w:val="278D0CD1"/>
    <w:multiLevelType w:val="multilevel"/>
    <w:tmpl w:val="278D0CD1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425" w:hanging="425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425" w:hanging="425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425" w:hanging="425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4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663555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E7A7B"/>
    <w:rsid w:val="05B52561"/>
    <w:rsid w:val="06BB79F1"/>
    <w:rsid w:val="084B351A"/>
    <w:rsid w:val="084F59B7"/>
    <w:rsid w:val="0A9F512F"/>
    <w:rsid w:val="11900658"/>
    <w:rsid w:val="127E59CB"/>
    <w:rsid w:val="13485240"/>
    <w:rsid w:val="156219BB"/>
    <w:rsid w:val="15DC021B"/>
    <w:rsid w:val="18DE37C3"/>
    <w:rsid w:val="193E4F11"/>
    <w:rsid w:val="1E7B5805"/>
    <w:rsid w:val="24D87DC3"/>
    <w:rsid w:val="25001695"/>
    <w:rsid w:val="27903C7F"/>
    <w:rsid w:val="27DD5EB3"/>
    <w:rsid w:val="29B90D75"/>
    <w:rsid w:val="2A6B1284"/>
    <w:rsid w:val="2AA12833"/>
    <w:rsid w:val="2AC361CA"/>
    <w:rsid w:val="2BE80B24"/>
    <w:rsid w:val="2D1F4429"/>
    <w:rsid w:val="2E2763E5"/>
    <w:rsid w:val="2FE64C91"/>
    <w:rsid w:val="300B46C5"/>
    <w:rsid w:val="32185064"/>
    <w:rsid w:val="32AC3E5B"/>
    <w:rsid w:val="357A6676"/>
    <w:rsid w:val="35F7590B"/>
    <w:rsid w:val="36D515C8"/>
    <w:rsid w:val="3AE27FDE"/>
    <w:rsid w:val="3E601A0C"/>
    <w:rsid w:val="40915884"/>
    <w:rsid w:val="432D1214"/>
    <w:rsid w:val="44243594"/>
    <w:rsid w:val="45DF4FF1"/>
    <w:rsid w:val="47D656A0"/>
    <w:rsid w:val="4C9E3E7D"/>
    <w:rsid w:val="4CB6178B"/>
    <w:rsid w:val="4D30111C"/>
    <w:rsid w:val="4E1E5AD4"/>
    <w:rsid w:val="4ED81C2B"/>
    <w:rsid w:val="520C378F"/>
    <w:rsid w:val="527F0844"/>
    <w:rsid w:val="529E06CB"/>
    <w:rsid w:val="5371514F"/>
    <w:rsid w:val="54576731"/>
    <w:rsid w:val="58CB3338"/>
    <w:rsid w:val="59A36A68"/>
    <w:rsid w:val="5A4B7378"/>
    <w:rsid w:val="5B5D1BF6"/>
    <w:rsid w:val="5CCC49C7"/>
    <w:rsid w:val="5FA11AAA"/>
    <w:rsid w:val="600D3081"/>
    <w:rsid w:val="65833E45"/>
    <w:rsid w:val="672E34E2"/>
    <w:rsid w:val="6EB72D9E"/>
    <w:rsid w:val="701A11DF"/>
    <w:rsid w:val="70473805"/>
    <w:rsid w:val="70870DB0"/>
    <w:rsid w:val="70AF2EE0"/>
    <w:rsid w:val="72036128"/>
    <w:rsid w:val="73051267"/>
    <w:rsid w:val="74F446EC"/>
    <w:rsid w:val="76234BCF"/>
    <w:rsid w:val="77B818DD"/>
    <w:rsid w:val="795A0418"/>
    <w:rsid w:val="7A8A0FB8"/>
    <w:rsid w:val="7CB12385"/>
    <w:rsid w:val="7D410DDA"/>
    <w:rsid w:val="7E975AD6"/>
    <w:rsid w:val="7F5620E7"/>
    <w:rsid w:val="7FB56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hAnsi="Arial" w:eastAsia="黑体" w:cs="Times New Roman"/>
      <w:b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First Indent"/>
    <w:basedOn w:val="9"/>
    <w:qFormat/>
    <w:uiPriority w:val="0"/>
    <w:pPr>
      <w:spacing w:after="0" w:line="300" w:lineRule="auto"/>
      <w:ind w:firstLine="200" w:firstLineChars="200"/>
    </w:pPr>
  </w:style>
  <w:style w:type="paragraph" w:styleId="9">
    <w:name w:val="Body Text"/>
    <w:basedOn w:val="1"/>
    <w:unhideWhenUsed/>
    <w:qFormat/>
    <w:uiPriority w:val="0"/>
    <w:pPr>
      <w:spacing w:after="12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1"/>
    <w:basedOn w:val="1"/>
    <w:next w:val="1"/>
    <w:qFormat/>
    <w:uiPriority w:val="39"/>
    <w:rPr>
      <w:b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character" w:customStyle="1" w:styleId="15">
    <w:name w:val="标题 2 Char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2020-03-03T06:32:17Z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