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生命周期部署手册</w:t>
      </w:r>
    </w:p>
    <w:p>
      <w:pPr>
        <w:jc w:val="center"/>
        <w:rPr>
          <w:rFonts w:hint="eastAsia"/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br w:type="page"/>
      </w:r>
    </w:p>
    <w:p>
      <w:pPr>
        <w:pStyle w:val="2"/>
        <w:ind w:left="432" w:leftChars="0" w:hanging="432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软硬件环境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eastAsia="zh-CN"/>
        </w:rPr>
        <w:t>服务器：</w:t>
      </w:r>
      <w:r>
        <w:rPr>
          <w:rFonts w:hint="eastAsia" w:ascii="Times New Roman" w:hAnsi="Times New Roman"/>
          <w:lang w:val="en-US" w:eastAsia="zh-CN"/>
        </w:rPr>
        <w:t>Tomcat6.0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数据库：Oracle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Java平台：Jdk1.6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浏览器：IE9.0以上，Google50+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数据库创建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创建生命周期数据时IP，端口以及实例名与估值和信息披露数据库一致。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估值库对生命周期库授权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 xml:space="preserve">grant connect to v45axfund1;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grant resource to v45axfund1;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grant create synonym to v45axfund1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grant create view to v45axfund1;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创建同义词，给同义词表授权：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在生命周期创建同义词（使用招募说明书需要执行信息披露同义词）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33925" cy="204787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在估值库中给生命周期库中的同义词授权（使用招募说明书需要执行信息披露增删改查权限）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05375" cy="3086100"/>
            <wp:effectExtent l="0" t="0" r="9525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创建流程任务脚本，在生命周期数据库执行脚本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05350" cy="302895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开通端口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开通Tomcat端口 8083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开通两个socket端口 11911 11912（broker端口 +1或者-2的地址不允许冲突即不能和11913或者11910冲突）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频道端口 45566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eastAsia="zh-CN"/>
        </w:rPr>
        <w:t>开通zookeeper端口：2181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文件配置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生成License文件放入YSS_APP\global文件夹</w:t>
      </w:r>
    </w:p>
    <w:p>
      <w:pPr>
        <w:numPr>
          <w:ilvl w:val="0"/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62525" cy="4076700"/>
            <wp:effectExtent l="0" t="0" r="9525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配置生命周期数据源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86425" cy="3876675"/>
            <wp:effectExtent l="0" t="0" r="9525" b="952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配置信息披露数据源</w:t>
      </w:r>
    </w:p>
    <w:p>
      <w:pPr>
        <w:numPr>
          <w:ilvl w:val="0"/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95850" cy="3638550"/>
            <wp:effectExtent l="0" t="0" r="0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注意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:招募说明书功能才需要配置，因为取数据是通过同义词的方式获取，即配置生命周期的数据源。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消息配置</w:t>
      </w:r>
    </w:p>
    <w:p>
      <w:pPr>
        <w:numPr>
          <w:ilvl w:val="0"/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24425" cy="3743325"/>
            <wp:effectExtent l="0" t="0" r="9525" b="952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端口配置参照第二章节开通端口，详细如下图</w:t>
      </w:r>
    </w:p>
    <w:p>
      <w:pPr>
        <w:numPr>
          <w:ilvl w:val="0"/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286875" cy="6238875"/>
            <wp:effectExtent l="0" t="0" r="9525" b="9525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86875" cy="623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修改mq.xml文件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3616960"/>
            <wp:effectExtent l="0" t="0" r="11430" b="2540"/>
            <wp:docPr id="22" name="图片 22" descr="企业微信截图_1530533894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企业微信截图_153053389454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路径：YSS_APP\global\mq.xml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Fast2.0增加useFastMq节点。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Linux环境需要制定文件夹及文件并且赋予读写权限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&lt;storePathRootDir&gt;/plm&lt;/storePathRootDir&gt;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&lt;storePathCommitLog&gt;/plm/rocktmq&lt;/storePathCommitLog&gt;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&lt;consumerOffsetLocation&gt;.rocketmq_offsets1&lt;/consumerOffsetLocation&gt;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日志路径配置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14900" cy="4048125"/>
            <wp:effectExtent l="0" t="0" r="0" b="9525"/>
            <wp:docPr id="9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343900" cy="4343400"/>
            <wp:effectExtent l="0" t="0" r="0" b="0"/>
            <wp:docPr id="10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43900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日志logConfig.xml文件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3984625"/>
            <wp:effectExtent l="0" t="0" r="5715" b="15875"/>
            <wp:docPr id="23" name="图片 23" descr="企业微信截图_15305342336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企业微信截图_153053423366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路径：YSS_APP\global\logConfig.xml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变更：增加Fast组件的日志输出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&lt;logger name="com.yss.fast" level="DEBUG"&gt;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&lt;appender-ref ref="ASYNC" /&gt;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&lt;appender-ref ref="STDOUT"/&gt;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&lt;/logger&gt;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开启数据库升级</w:t>
      </w:r>
    </w:p>
    <w:p>
      <w:pPr>
        <w:numPr>
          <w:ilvl w:val="0"/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33925" cy="3209925"/>
            <wp:effectExtent l="0" t="0" r="9525" b="9525"/>
            <wp:docPr id="1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48250" cy="1781175"/>
            <wp:effectExtent l="0" t="0" r="0" b="9525"/>
            <wp:docPr id="12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eastAsia="zh-CN"/>
        </w:rPr>
        <w:t>注意：设置成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true开启升级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配置生命周期菜单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</w:pPr>
      <w:r>
        <w:drawing>
          <wp:inline distT="0" distB="0" distL="114300" distR="114300">
            <wp:extent cx="5269230" cy="3502025"/>
            <wp:effectExtent l="0" t="0" r="7620" b="317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2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webplus.system.codes=WEBPLUS,XBRL,PLM,DBFILL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webplus.system.name=赢时胜金融资产管理平台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配置导入接口信息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</w:pPr>
      <w:r>
        <w:drawing>
          <wp:inline distT="0" distB="0" distL="114300" distR="114300">
            <wp:extent cx="5269230" cy="2143125"/>
            <wp:effectExtent l="0" t="0" r="7620" b="952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object>
          <v:shape id="_x0000_i1025" o:spt="75" type="#_x0000_t75" style="height:37.6pt;width:80.1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20">
            <o:LockedField>false</o:LockedField>
          </o:OLEObject>
        </w:objec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增加rpc.xml文件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路径：YSS_APP\global\rpc.xml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1751965"/>
            <wp:effectExtent l="0" t="0" r="7620" b="635"/>
            <wp:docPr id="20" name="图片 20" descr="企业微信截图_153023809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企业微信截图_1530238090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address地址10.10.90.15变更成部署服务地址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appAddress地址变更成服务器地址+Tomcat端口例如：10.10.20.102:8080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 w:ascii="Times New Roman" w:hAnsi="Times New Roman"/>
          <w:b/>
          <w:bCs/>
          <w:color w:val="FF0000"/>
          <w:lang w:eastAsia="zh-CN"/>
        </w:rPr>
      </w:pPr>
      <w:r>
        <w:rPr>
          <w:rFonts w:hint="eastAsia"/>
          <w:b/>
          <w:bCs/>
          <w:color w:val="FF0000"/>
          <w:lang w:val="en-US" w:eastAsia="zh-CN"/>
        </w:rPr>
        <w:t>端口2181不变即为</w:t>
      </w:r>
      <w:r>
        <w:rPr>
          <w:rFonts w:hint="eastAsia" w:ascii="Times New Roman" w:hAnsi="Times New Roman"/>
          <w:b/>
          <w:bCs/>
          <w:color w:val="FF0000"/>
          <w:lang w:eastAsia="zh-CN"/>
        </w:rPr>
        <w:t>开通的zookeeper端口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 w:ascii="Times New Roman" w:hAnsi="Times New Roman"/>
          <w:b/>
          <w:bCs/>
          <w:color w:val="FF0000"/>
          <w:lang w:val="en-US" w:eastAsia="zh-CN"/>
        </w:rPr>
      </w:pPr>
      <w:r>
        <w:rPr>
          <w:rFonts w:hint="eastAsia" w:ascii="Times New Roman" w:hAnsi="Times New Roman"/>
          <w:b/>
          <w:bCs/>
          <w:color w:val="FF0000"/>
          <w:lang w:val="en-US" w:eastAsia="zh-CN"/>
        </w:rPr>
        <w:t>端口9483变更部署的Tomcat端口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增加zoo.cfg文件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路径：YSS_APP\global\zoo.cfg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34150" cy="2714625"/>
            <wp:effectExtent l="0" t="0" r="0" b="9525"/>
            <wp:docPr id="2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dataDir根据windows或者linux系统变更zookeeper数据路径。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dataLogDir根据windows或者linux系统变更zookeeper日志路径。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Linux系统需要给这两个文件夹赋予读写权限。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增加邮件发送文件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路径：YSS_APP\plm\mailSender.properties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71700" cy="333375"/>
            <wp:effectExtent l="0" t="0" r="0" b="9525"/>
            <wp:docPr id="2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outlineLvl w:val="9"/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sendUser系统定时发送邮件的人员，具体配置参照《定时发送邮件任务配置说明.doc》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配置Runtime.properties文件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路径：YSS_APP\global\runtime.properties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#是否启用国密加密 ENAB启用 DISB不启用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encrypt_type=DISB</w:t>
      </w:r>
      <w:bookmarkStart w:id="0" w:name="_GoBack"/>
      <w:bookmarkEnd w:id="0"/>
    </w:p>
    <w:p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环境变量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设置上传图片存储路径：YSS_FILE=D:\CPSMZQ_PIC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设置Jdk环境变量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设置Tomcat环境变量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YSS_APP配置完毕后将WAR包放入Tomcat启动</w:t>
      </w:r>
    </w:p>
    <w:p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24400" cy="2828925"/>
            <wp:effectExtent l="0" t="0" r="0" b="9525"/>
            <wp:docPr id="13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菜单授权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登录估值系统，岗位授权生命周期菜单。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登录生命周期系统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使用估值系统授权的岗位用户登录系统，选择有生命周期菜单的岗位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http://127.0.0.1:8083/YSSUCOBRIDGE/fast-sso/login</w:t>
      </w:r>
    </w:p>
    <w:p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53125" cy="5334000"/>
            <wp:effectExtent l="0" t="0" r="9525" b="0"/>
            <wp:docPr id="14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ascii="宋体" w:hAnsi="宋体" w:eastAsia="宋体" w:cs="宋体"/>
          <w:sz w:val="24"/>
          <w:szCs w:val="24"/>
        </w:rPr>
      </w:pPr>
    </w:p>
    <w:p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66460" cy="2878455"/>
            <wp:effectExtent l="0" t="0" r="15240" b="17145"/>
            <wp:docPr id="15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878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招募说明书功能环境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以管理员身份运行插件</w:t>
      </w:r>
    </w:p>
    <w:p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72025" cy="3324225"/>
            <wp:effectExtent l="0" t="0" r="9525" b="9525"/>
            <wp:docPr id="16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浏览器属性如下表示安装成功</w:t>
      </w:r>
    </w:p>
    <w:p>
      <w:pPr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67100" cy="4476750"/>
            <wp:effectExtent l="0" t="0" r="0" b="0"/>
            <wp:docPr id="17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73FC8C6"/>
    <w:multiLevelType w:val="singleLevel"/>
    <w:tmpl w:val="A73FC8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1F4C406"/>
    <w:multiLevelType w:val="singleLevel"/>
    <w:tmpl w:val="E1F4C4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5460562"/>
    <w:multiLevelType w:val="singleLevel"/>
    <w:tmpl w:val="054605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95DD0DB"/>
    <w:multiLevelType w:val="multilevel"/>
    <w:tmpl w:val="295DD0D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65A7D"/>
    <w:rsid w:val="02771547"/>
    <w:rsid w:val="02C675B9"/>
    <w:rsid w:val="037A38E2"/>
    <w:rsid w:val="03E9273D"/>
    <w:rsid w:val="071C7000"/>
    <w:rsid w:val="08A5424E"/>
    <w:rsid w:val="0C0A544F"/>
    <w:rsid w:val="0DD52EC7"/>
    <w:rsid w:val="0EAE78A9"/>
    <w:rsid w:val="0EC771BE"/>
    <w:rsid w:val="109D7B35"/>
    <w:rsid w:val="1B6E1A98"/>
    <w:rsid w:val="1CAA5AF9"/>
    <w:rsid w:val="1F302687"/>
    <w:rsid w:val="20A71281"/>
    <w:rsid w:val="20EA3AA1"/>
    <w:rsid w:val="2499044E"/>
    <w:rsid w:val="25E37CA0"/>
    <w:rsid w:val="263E6580"/>
    <w:rsid w:val="299D43C5"/>
    <w:rsid w:val="2A8432BF"/>
    <w:rsid w:val="2B263D6C"/>
    <w:rsid w:val="2C6D3FB8"/>
    <w:rsid w:val="316351C6"/>
    <w:rsid w:val="321010AE"/>
    <w:rsid w:val="36D350DB"/>
    <w:rsid w:val="36DB3F0C"/>
    <w:rsid w:val="3B637C57"/>
    <w:rsid w:val="467748A2"/>
    <w:rsid w:val="469953A9"/>
    <w:rsid w:val="496C20B5"/>
    <w:rsid w:val="4A5F31AC"/>
    <w:rsid w:val="4DCD2815"/>
    <w:rsid w:val="53810CE1"/>
    <w:rsid w:val="55AF7FE2"/>
    <w:rsid w:val="57493F0C"/>
    <w:rsid w:val="575B25E4"/>
    <w:rsid w:val="59191C6E"/>
    <w:rsid w:val="597E3FF5"/>
    <w:rsid w:val="5B8B255A"/>
    <w:rsid w:val="5E1068DC"/>
    <w:rsid w:val="60B947A8"/>
    <w:rsid w:val="620D4D98"/>
    <w:rsid w:val="63795C88"/>
    <w:rsid w:val="65962A99"/>
    <w:rsid w:val="6B6F7992"/>
    <w:rsid w:val="6E3A51FF"/>
    <w:rsid w:val="71CA00CD"/>
    <w:rsid w:val="745C6FD3"/>
    <w:rsid w:val="75C72722"/>
    <w:rsid w:val="7B3236CA"/>
    <w:rsid w:val="7BE53555"/>
    <w:rsid w:val="7F1D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e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2018-07-18T07:16:56Z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