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aramond" w:cs="Garamond" w:eastAsia="Garamond" w:hAnsi="Garamond"/>
          <w:b/>
          <w:bCs/>
          <w:color w:val="111111"/>
          <w:sz w:val="36"/>
          <w:szCs w:val="36"/>
        </w:rPr>
        <w:t xml:space="preserve">YVONNE LI</w:t>
      </w:r>
    </w:p>
    <w:p>
      <w:pPr>
        <w:pBdr>
          <w:bottom w:val="single" w:color="111111" w:sz="4" w:space="2"/>
        </w:pBdr>
        <w:spacing w:after="0" w:before="0"/>
        <w:jc w:val="center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Los Angeles, CA  ·  yvonneliyixuan@gmail.com  ·  linkedin.com/in/yvonne-li-yixuan</w:t>
      </w:r>
    </w:p>
    <w:p>
      <w:pPr>
        <w:spacing w:after="60" w:before="60"/>
        <w:jc w:val="both"/>
      </w:pPr>
      <w:r>
        <w:rPr>
          <w:rFonts w:ascii="Garamond" w:cs="Garamond" w:eastAsia="Garamond" w:hAnsi="Garamond"/>
          <w:color w:val="111111"/>
          <w:sz w:val="16"/>
          <w:szCs w:val="16"/>
        </w:rPr>
        <w:t xml:space="preserve">Systems thinker and 0→1 builder spanning real estate finance, corporate legal practice, IP product design, and AI. Background spans financial modeling and portfolio management, corporate legal compliance at an education &amp; immigration services company, and AI-augmented legal product development. Founded a $350K ARR IP brand and built live AI tools. Now running an AI-augmented legal and startup consulting practice — targeting AI product management roles where cross-domain legal, financial, and technical fluency is a feature.</w:t>
      </w:r>
    </w:p>
    <w:p>
      <w:pPr>
        <w:pBdr>
          <w:bottom w:val="single" w:color="111111" w:sz="6" w:space="2"/>
        </w:pBdr>
        <w:spacing w:after="30" w:before="80"/>
      </w:pPr>
      <w:r>
        <w:rPr>
          <w:rFonts w:ascii="Garamond" w:cs="Garamond" w:eastAsia="Garamond" w:hAnsi="Garamond"/>
          <w:b/>
          <w:bCs/>
          <w:color w:val="111111"/>
          <w:sz w:val="22"/>
          <w:szCs w:val="22"/>
        </w:rPr>
        <w:t xml:space="preserve">EXPERIENCE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NextStep Services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Los Angeles, CA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Founder &amp; Principal · CA Registered Legal Document Assistant (LDA)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Feb 2025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Founded an AI-augmented consulting practice for international graduates navigating US immigration and company formation, combining California LDA services with startup strategy and entity structuring.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Built and shipped </w:t>
      </w:r>
      <w:r>
        <w:rPr>
          <w:rFonts w:ascii="Garamond" w:cs="Garamond" w:eastAsia="Garamond" w:hAnsi="Garamond"/>
          <w:i/>
          <w:iCs/>
          <w:color w:val="111111"/>
          <w:sz w:val="17"/>
          <w:szCs w:val="17"/>
        </w:rPr>
        <w:t xml:space="preserve">H-1B Compass</w:t>
      </w:r>
      <w:r>
        <w:rPr>
          <w:rFonts w:ascii="Garamond" w:cs="Garamond" w:eastAsia="Garamond" w:hAnsi="Garamond"/>
          <w:color w:val="111111"/>
          <w:sz w:val="17"/>
          <w:szCs w:val="17"/>
        </w:rPr>
        <w:t xml:space="preserve"> — a live AI tool encoding H-1B filing logic into a self-serve strategy engine: SOC code matching, wage analysis, lottery odds, and ranked visa pathways.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Deploy LLM workflows (Claude, GPT-4) to compress multi-hour legal research and document preparation into actionable client session outputs; deep discovery model maps each client’s full legal and financial situation.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New Dream Services</w:t>
            </w: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 (Education &amp; Immigration Services)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Irvine, CA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Legal Affairs Manager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 2023 – Dec 2024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Managed corporate legal compliance for a Chinese-founded education and immigration services company: reviewed and negotiated service contracts, maintained entity governance records, and ensured California regulatory compliance across all business lines.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Drafted client engagement letters, service agreements, and NDA templates; liaised with external immigration counsel to support student visa advisory workflows and reduce legal exposure.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Built internal compliance playbooks for handling sensitive client data under CCPA; led cross-functional review of operational contracts as the company scaled from 3 to 12 staff.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Financial &amp; Investment Analyst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 2022 – Oct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Developed financial models for 23 real estate investment projects using DCF and exit strategy analysis; managed deal pipeline and coordinated reporting with external accountants.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Transition to Legal Affairs driven by growing exposure to contract disputes and entity compliance gaps — applied financial analytical rigor to legal risk assessment and client advisory.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CBRE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Los Angeles, CA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Financial Intern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 2022 – Aug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Developed a $1B M&amp;A proposal for CBRE’s expansion into Australia, incorporating economic analysis, valuations, and pro forma projections; conducted 50+ industry interviews to build the strategic case.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Built a 7+5 forecast and benefit realization model using Power BI; presented 9 benefit reports to senior management and enhanced recruiting financial models, improving efficiency 20%.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US-Based Furniture Brand</w:t>
            </w: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 (Confidential)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Chino, CA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Brand Strategy Consultant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 2022 – Jan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Repositioned brand identity from product-centric to lifestyle-aspirational; developed tone of voice, visual content pillars, and creator collaboration strategy to attract premium North American buyers.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Cushman &amp; Wakefield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Chengdu, China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Real Estate Consultant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Jan 2021 – Aug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Co-led a 7.5-acre multiuse development generating $10M in revenue; synthesized deliverables into a 118-page client presentation and coordinated due diligence across 7 real estate projects.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Conducted 18 subdistrict interviews, 5 on-site investigations, and 30 consumer surveys for a Cultural Tourism development; participated in government meetings and competitive bidding processes.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SPS Dolls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Multiple Cities, China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Founder &amp; IP Designer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 2019 – Jul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Garamond" w:cs="Garamond" w:eastAsia="Garamond" w:hAnsi="Garamond"/>
          <w:color w:val="111111"/>
          <w:sz w:val="17"/>
          <w:szCs w:val="17"/>
        </w:rPr>
        <w:t xml:space="preserve">Founded original BJD IP brand; designed 15+ products, managed 5 factories, built omnichannel distribution across Instagram/Etsy/Weibo, sponsored 4 national conventions — grew to ~$350K ARR.</w:t>
      </w:r>
    </w:p>
    <w:p>
      <w:pPr>
        <w:pBdr>
          <w:bottom w:val="single" w:color="111111" w:sz="6" w:space="2"/>
        </w:pBdr>
        <w:spacing w:after="30" w:before="80"/>
      </w:pPr>
      <w:r>
        <w:rPr>
          <w:rFonts w:ascii="Garamond" w:cs="Garamond" w:eastAsia="Garamond" w:hAnsi="Garamond"/>
          <w:b/>
          <w:bCs/>
          <w:color w:val="111111"/>
          <w:sz w:val="22"/>
          <w:szCs w:val="22"/>
        </w:rPr>
        <w:t xml:space="preserve">EDUCATION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Columbia University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New York, NY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M.S. Real Estate Finance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 2020 – May 2022</w:t>
            </w:r>
          </w:p>
        </w:tc>
      </w:tr>
    </w:tbl>
    <w:p>
      <w:pPr>
        <w:spacing w:after="40" w:before="0"/>
      </w:pPr>
      <w:r>
        <w:rPr>
          <w:rFonts w:ascii="Garamond" w:cs="Garamond" w:eastAsia="Garamond" w:hAnsi="Garamond"/>
          <w:color w:val="111111"/>
          <w:sz w:val="15"/>
          <w:szCs w:val="15"/>
        </w:rPr>
        <w:t xml:space="preserve">Relevant: Real Estate Finance, Fund Management, Financial Modeling, ARGUS Enterprise, Real Estate Law, Market Analytics, REITs, Affordable Housing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Washington University in St. Louis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St. Louis, MO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 w:val="false"/>
                <w:bCs w:val="false"/>
                <w:i/>
                <w:iCs/>
                <w:color w:val="111111"/>
                <w:sz w:val="17"/>
                <w:szCs w:val="17"/>
              </w:rPr>
              <w:t xml:space="preserve">B.S. Economics &amp; Architecture (Double Major) · GPA 3.4/4.0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2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 2016 – May 2019</w:t>
            </w:r>
          </w:p>
        </w:tc>
      </w:tr>
    </w:tbl>
    <w:p>
      <w:pPr>
        <w:spacing w:after="40" w:before="0"/>
      </w:pPr>
      <w:r>
        <w:rPr>
          <w:rFonts w:ascii="Garamond" w:cs="Garamond" w:eastAsia="Garamond" w:hAnsi="Garamond"/>
          <w:color w:val="111111"/>
          <w:sz w:val="15"/>
          <w:szCs w:val="15"/>
        </w:rPr>
        <w:t xml:space="preserve">Relevant: Behavioral Economics, Econometrics, Capital Market Imperfections &amp; Entrepreneurial Finance · Architecture: Core Design Studios, Building Systems · Study Abroad: SRISA Florence, Jul–Aug 2018</w:t>
      </w:r>
    </w:p>
    <w:p>
      <w:pPr>
        <w:pBdr>
          <w:bottom w:val="single" w:color="111111" w:sz="6" w:space="2"/>
        </w:pBdr>
        <w:spacing w:after="30" w:before="80"/>
      </w:pPr>
      <w:r>
        <w:rPr>
          <w:rFonts w:ascii="Garamond" w:cs="Garamond" w:eastAsia="Garamond" w:hAnsi="Garamond"/>
          <w:b/>
          <w:bCs/>
          <w:color w:val="111111"/>
          <w:sz w:val="22"/>
          <w:szCs w:val="22"/>
        </w:rPr>
        <w:t xml:space="preserve">SKILLS &amp; CERTIFICATIONS</w:t>
      </w:r>
    </w:p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Legal &amp; Compliance: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t xml:space="preserve">Corporate legal compliance (CA) · Contract drafting &amp; review · Entity governance · CCPA · LDA (CA Registered) · Immigration documentation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Product &amp; AI: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t xml:space="preserve">0→1 product development · AI agent architecture · Prompt engineering · LLM integration (Claude, GPT-4, Gemini) · Lovable · Cursor · GitHub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Finance &amp; Analysis: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t xml:space="preserve">Financial modeling (DCF, exit strategy) · Portfolio management · ARGUS Enterprise · Power BI · Due diligence · Market research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Technical: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t xml:space="preserve">Figma · Adobe Creative Suite · Microsoft Office &amp; Excel · Python (scripting)</w:t>
            </w:r>
          </w:p>
        </w:tc>
      </w:tr>
    </w:tbl>
    <w:tbl>
      <w:tblPr>
        <w:tblW w:type="dxa" w:w="106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33"/>
        <w:gridCol w:w="3623"/>
      </w:tblGrid>
      <w:tr>
        <w:tc>
          <w:tcPr>
            <w:tcW w:type="dxa" w:w="70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Languages &amp; Certs:</w:t>
            </w:r>
          </w:p>
        </w:tc>
        <w:tc>
          <w:tcPr>
            <w:tcW w:type="dxa" w:w="3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24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111111"/>
                <w:sz w:val="16"/>
                <w:szCs w:val="16"/>
              </w:rPr>
              <w:t xml:space="preserve">Mandarin Chinese (native) · English (fluent) · CFA Level I (Oct 2023) · ARGUS Enterprise (May 2022)</w:t>
            </w:r>
          </w:p>
        </w:tc>
      </w:tr>
    </w:tbl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180"/>
      </w:pPr>
      <w:rPr>
        <w:rFonts w:ascii="Garamond" w:cs="Garamond" w:eastAsia="Garamond" w:hAnsi="Garamond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2026-04-11T03:51:13.053Z</dcterms:created>
  <dcterms:modified xsi:type="dcterms:W3CDTF">2026-04-11T03:51:13.053Z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