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7180" w14:textId="626CB11D" w:rsidR="00A41A35" w:rsidRPr="00F82593" w:rsidRDefault="00644A27" w:rsidP="00F82593">
      <w:pPr>
        <w:rPr>
          <w:rFonts w:ascii="Univers" w:hAnsi="Univers"/>
          <w:b/>
          <w:bCs/>
          <w:sz w:val="36"/>
          <w:szCs w:val="36"/>
        </w:rPr>
      </w:pPr>
      <w:r w:rsidRPr="00F82593">
        <w:rPr>
          <w:rFonts w:ascii="Univers" w:hAnsi="Univers"/>
          <w:b/>
          <w:bCs/>
          <w:sz w:val="36"/>
          <w:szCs w:val="36"/>
        </w:rPr>
        <w:t>Glossary</w:t>
      </w:r>
    </w:p>
    <w:p w14:paraId="13AD6D55" w14:textId="77777777" w:rsidR="00644A27" w:rsidRPr="00F82593" w:rsidRDefault="00644A27" w:rsidP="00F82593">
      <w:pPr>
        <w:rPr>
          <w:rFonts w:ascii="Univers" w:hAnsi="Univers"/>
          <w:sz w:val="20"/>
          <w:szCs w:val="20"/>
        </w:rPr>
      </w:pPr>
    </w:p>
    <w:p w14:paraId="0C81585E" w14:textId="77777777" w:rsidR="00644A27" w:rsidRPr="00F82593" w:rsidRDefault="00644A27" w:rsidP="00F82593">
      <w:pPr>
        <w:rPr>
          <w:rFonts w:ascii="Univers" w:hAnsi="Univers"/>
          <w:sz w:val="20"/>
          <w:szCs w:val="20"/>
        </w:rPr>
      </w:pPr>
    </w:p>
    <w:p w14:paraId="748359F1" w14:textId="77777777" w:rsidR="00F82593" w:rsidRPr="00F82593" w:rsidRDefault="00F82593" w:rsidP="00F82593">
      <w:pPr>
        <w:outlineLvl w:val="0"/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</w:pPr>
      <w:r w:rsidRPr="00F82593">
        <w:rPr>
          <w:rFonts w:ascii="Univers" w:eastAsia="Times New Roman" w:hAnsi="Univers" w:cs="Times New Roman"/>
          <w:b/>
          <w:bCs/>
          <w:kern w:val="36"/>
          <w:sz w:val="24"/>
          <w:szCs w:val="24"/>
          <w:lang w:eastAsia="en-AU"/>
          <w14:ligatures w14:val="none"/>
        </w:rPr>
        <w:t>F</w:t>
      </w:r>
    </w:p>
    <w:p w14:paraId="7AA27EC0" w14:textId="77777777" w:rsid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4F39AB" w14:textId="08853DDA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Face Value: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nominal value of a security stated by the issuer, used to determine interest payments and redemption value.</w:t>
      </w:r>
    </w:p>
    <w:p w14:paraId="7033D601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F6440DE" w14:textId="46E5928C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Fair Value: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estimated price an informed buyer and seller would agree on under normal market conditions.</w:t>
      </w:r>
    </w:p>
    <w:p w14:paraId="689D933F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4196621" w14:textId="0FA5D9B4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Federal Funds Rate: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overnight interest rate at which U.S. banks lend reserves to each other, anchoring broader interest rates.</w:t>
      </w:r>
    </w:p>
    <w:p w14:paraId="6CD260CF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D6FE5E3" w14:textId="0026D552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Fee Structure: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system of management fees, performance fees, commissions, and other charges applied to an investment product.</w:t>
      </w:r>
    </w:p>
    <w:p w14:paraId="64AEE2EE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8D336DD" w14:textId="5DD8E3FA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Fiduciary: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person or institution legally required to act in the best interests of another party.</w:t>
      </w:r>
    </w:p>
    <w:p w14:paraId="7CACA5C3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9ECB0CC" w14:textId="2444C0FE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Financial Institution: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organisation such as a bank or investment firm that provides financial services including lending, deposits, and investing.</w:t>
      </w:r>
    </w:p>
    <w:p w14:paraId="33AC88FC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8476D54" w14:textId="066033B6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Financial Leverage: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use of debt to increase potential returns while increasing risk.</w:t>
      </w:r>
    </w:p>
    <w:p w14:paraId="6B6C0FF8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73A2CF3" w14:textId="7D100A67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Financial Planner: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professional who helps individuals manage investments, retirement planning, and financial goals.</w:t>
      </w:r>
    </w:p>
    <w:p w14:paraId="3D478C11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DDB1C4D" w14:textId="2BAD955B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Financial Product: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Any investment, loan, insurance, or derivative contract offered to investors.</w:t>
      </w:r>
    </w:p>
    <w:p w14:paraId="19C5E27C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9D98E63" w14:textId="7CD53101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Financial Services Guide (FSG):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document explaining services, fees, and obligations provided by a financial services provider.</w:t>
      </w:r>
    </w:p>
    <w:p w14:paraId="0E8E6786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A3852B1" w14:textId="578E70E8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Fiscal Policy: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Government decisions on spending and taxation used to influence economic activity.</w:t>
      </w:r>
    </w:p>
    <w:p w14:paraId="3E9BFF26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DC92B44" w14:textId="08264119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Fixed Asset: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long-term tangible asset such as property, plant, or equipment used in operations.</w:t>
      </w:r>
    </w:p>
    <w:p w14:paraId="464DC119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98D96CF" w14:textId="01982EF3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Fixed Income: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Investments such as bonds that provide regular interest payments and return principal at maturity.</w:t>
      </w:r>
    </w:p>
    <w:p w14:paraId="7DC75918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7DF6B80" w14:textId="2FF5A4FD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Fixed Interest: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security where the interest rate is set in advance and remains stable.</w:t>
      </w:r>
    </w:p>
    <w:p w14:paraId="3C54A4A8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12BE159" w14:textId="63B1F018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Float: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number of shares available for public trading after excluding restricted holdings.</w:t>
      </w:r>
    </w:p>
    <w:p w14:paraId="53B05717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B70D09F" w14:textId="163D9601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Floor Trader: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trader who executes orders directly on the exchange floor.</w:t>
      </w:r>
    </w:p>
    <w:p w14:paraId="29CC1CC7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20053EE" w14:textId="2F09E612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Forex (Foreign Exchange):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global market for trading currencies.</w:t>
      </w:r>
    </w:p>
    <w:p w14:paraId="32BB1C89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1A0A827" w14:textId="1678C8C6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Front-End Load: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sales fee charged when purchasing an investment fund.</w:t>
      </w:r>
    </w:p>
    <w:p w14:paraId="474DCAB2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B5FC014" w14:textId="4F428DFC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Free Cash Flow (FCF):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Cash generated after capital expenditures, available to investors or reinvestment.</w:t>
      </w:r>
    </w:p>
    <w:p w14:paraId="792D70A8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35885EC" w14:textId="0E65F9D1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Free Cash Flow Yield: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Free cash flow expressed as a percentage of market price.</w:t>
      </w:r>
    </w:p>
    <w:p w14:paraId="63FEECF5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6169397" w14:textId="5F47E3E7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Friendly Societies: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Member-owned organisations providing financial or insurance benefits.</w:t>
      </w:r>
    </w:p>
    <w:p w14:paraId="25674FD2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B28CE11" w14:textId="45D55D41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Full-Service Broker: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brokerage offering advice, research, and trade execution.</w:t>
      </w:r>
    </w:p>
    <w:p w14:paraId="1FB1183A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7761D39" w14:textId="076DF087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Fundamental Analysis: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study of a company’s financial health, competitive position, and earnings power to estimate intrinsic value.</w:t>
      </w:r>
    </w:p>
    <w:p w14:paraId="2A8DF57C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94BCC47" w14:textId="67FB30D9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Fund Manager: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individual or firm responsible for managing investment portfolios.</w:t>
      </w:r>
    </w:p>
    <w:p w14:paraId="218F1149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BE89EF4" w14:textId="230F6B2B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Funds From Operations (FFO):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cash-flow measure used primarily for REITs, adjusting net income for depreciation and property-related gains or losses.</w:t>
      </w:r>
    </w:p>
    <w:p w14:paraId="21350643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626C458" w14:textId="0896EDFF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Futures Contract: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contract obligating the purchase or sale of an asset at a fixed price on a future date.</w:t>
      </w:r>
    </w:p>
    <w:p w14:paraId="06F0C70E" w14:textId="77777777" w:rsid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C6F0A2A" w14:textId="0A3DFBC7" w:rsidR="00182DAE" w:rsidRPr="002C4959" w:rsidRDefault="00182DAE" w:rsidP="00182DAE">
      <w:pPr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2C4959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G</w:t>
      </w:r>
    </w:p>
    <w:p w14:paraId="515FD9DF" w14:textId="77777777" w:rsidR="00182DAE" w:rsidRDefault="00182DAE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AE5A528" w14:textId="5E111BAE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GAAP (Generally Accepted Accounting Principles):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Standard accounting rules used in financial reporting.</w:t>
      </w:r>
    </w:p>
    <w:p w14:paraId="42BA10CA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6FDB657" w14:textId="2C1BD4A9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Gamma: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options measure showing how quickly delta changes as the underlying price moves.</w:t>
      </w:r>
    </w:p>
    <w:p w14:paraId="13096654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E48F409" w14:textId="7722F477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Gearing: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use of borrowed funds to finance assets or investments.</w:t>
      </w:r>
    </w:p>
    <w:p w14:paraId="33995DE8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FC6BB3C" w14:textId="6AA769F9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Geometric Mean: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method for calculating compounded returns over multiple periods.</w:t>
      </w:r>
    </w:p>
    <w:p w14:paraId="2E15943A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609CEF4" w14:textId="1DB46F11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GICS (Global Industry Classification Standard):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global system for classifying companies into sectors and industries.</w:t>
      </w:r>
    </w:p>
    <w:p w14:paraId="2B69ACB3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1553EAF" w14:textId="0CE43FA1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Golden Handshake: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large payment or benefit package given to an executive upon departure.</w:t>
      </w:r>
    </w:p>
    <w:p w14:paraId="4983E4C9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E528376" w14:textId="10132520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Goodwill: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intangible asset arising when a company is acquired for more than the fair value of its net assets.</w:t>
      </w:r>
    </w:p>
    <w:p w14:paraId="108CCDCD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E8A0F13" w14:textId="63ECDAA5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Gross Domestic Product (GDP):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total value of goods and services produced in an economy over a period.</w:t>
      </w:r>
    </w:p>
    <w:p w14:paraId="5206C135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1711124" w14:textId="04BFED7F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Gross Exposure: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total exposure of a portfolio including both long and short positions.</w:t>
      </w:r>
    </w:p>
    <w:p w14:paraId="690F4376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9AB3F42" w14:textId="682EDE33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Gross Margin: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Revenue minus cost of goods sold, expressed as a percentage of revenue.</w:t>
      </w:r>
    </w:p>
    <w:p w14:paraId="3CD9294E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9A6B51F" w14:textId="099BE627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Gross Profit: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Revenue minus cost of goods sold.</w:t>
      </w:r>
    </w:p>
    <w:p w14:paraId="46CFF393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B7F4C04" w14:textId="72126595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Growth Assets: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Assets expected to increase in value over time, such as equities and property.</w:t>
      </w:r>
    </w:p>
    <w:p w14:paraId="0F593545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D94028F" w14:textId="32C01E5A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Growth Fund: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fund focused on capital appreciation through high-growth companies.</w:t>
      </w:r>
    </w:p>
    <w:p w14:paraId="531F1A0C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232D7E7" w14:textId="6C5D51FC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Growth Investor: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investor focused on companies expected to grow earnings above the market average.</w:t>
      </w:r>
    </w:p>
    <w:p w14:paraId="3A383EC1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3919C5A" w14:textId="470CB9E2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Growth Investing: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strategy focused on companies with strong earnings or revenue growth potential.</w:t>
      </w:r>
    </w:p>
    <w:p w14:paraId="213E7032" w14:textId="77777777" w:rsidR="002C4959" w:rsidRDefault="002C4959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427DD99" w14:textId="4E43FC9A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Growth Stock: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stock expected to grow earnings faster than the market average.</w:t>
      </w:r>
    </w:p>
    <w:p w14:paraId="086CF334" w14:textId="77777777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lastRenderedPageBreak/>
        <w:t>Guidance: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Forward-looking earnings or performance estimates provided by company management.</w:t>
      </w:r>
    </w:p>
    <w:p w14:paraId="775142DA" w14:textId="77777777" w:rsidR="007F7C97" w:rsidRDefault="007F7C97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5E4DC50" w14:textId="76460596" w:rsidR="00182DAE" w:rsidRPr="007F7C97" w:rsidRDefault="00182DAE" w:rsidP="00182DAE">
      <w:pPr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7F7C9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H</w:t>
      </w:r>
    </w:p>
    <w:p w14:paraId="28E7767B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7E4BEA1" w14:textId="037E8CAD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Hammering the Market: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Heavy selling pressure caused by investors rapidly exiting positions.</w:t>
      </w:r>
    </w:p>
    <w:p w14:paraId="21D72D92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D7210F6" w14:textId="52B917E9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Hard Asset: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tangible asset such as property, commodities, or infrastructure with intrinsic value.</w:t>
      </w:r>
    </w:p>
    <w:p w14:paraId="1F3494AE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C018B7B" w14:textId="56FC1168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Hedge: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position taken to reduce or offset investment risk.</w:t>
      </w:r>
    </w:p>
    <w:p w14:paraId="7A3E104D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250A68E" w14:textId="3F389F24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Hedge Clause: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disclaimer intended to limit liability for investment statements or forecasts.</w:t>
      </w:r>
    </w:p>
    <w:p w14:paraId="5212F88B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B126A41" w14:textId="3A044D37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Hedge Fund: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pooled investment fund using flexible strategies including leverage, derivatives, and short selling.</w:t>
      </w:r>
    </w:p>
    <w:p w14:paraId="6FC7C72E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C832331" w14:textId="3CD5C3DD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High-Water Mark: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highest peak in fund value that must be exceeded before performance fees can be charged again.</w:t>
      </w:r>
    </w:p>
    <w:p w14:paraId="1D58F497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DE9F7FF" w14:textId="5E311E01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High-Yield Bond: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bond with lower credit rating and higher yield to compensate for default risk.</w:t>
      </w:r>
    </w:p>
    <w:p w14:paraId="7C311AB5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3DBF2BE" w14:textId="78AC11BB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Historical Yield: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yield an investment has generated over a past period.</w:t>
      </w:r>
    </w:p>
    <w:p w14:paraId="13AB91F2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7FC154C" w14:textId="02DA81A0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Holding Company: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company that owns controlling stakes in other companies.</w:t>
      </w:r>
    </w:p>
    <w:p w14:paraId="0EB2B214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CCA003E" w14:textId="380ABAF2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Holding Period: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time an investor holds an investment before selling.</w:t>
      </w:r>
    </w:p>
    <w:p w14:paraId="0C67DB06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C781947" w14:textId="78666CC6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Holding Period Return: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total return earned over the holding period.</w:t>
      </w:r>
    </w:p>
    <w:p w14:paraId="430686B4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66E6898" w14:textId="074A28A9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Holdings: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assets or securities owned in a portfolio.</w:t>
      </w:r>
    </w:p>
    <w:p w14:paraId="4CDB46E2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4AF8B14" w14:textId="6C6A80C7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Horizontal Analysis: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method of comparing financial data across multiple periods.</w:t>
      </w:r>
    </w:p>
    <w:p w14:paraId="5D0EF889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D773B7B" w14:textId="133B17DB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Horizon Analysis: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forward-looking investment method based on expected future conditions.</w:t>
      </w:r>
    </w:p>
    <w:p w14:paraId="11915B31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231C6E2" w14:textId="226180A7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Hostile Takeover: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acquisition attempt opposed by the target company’s management.</w:t>
      </w:r>
    </w:p>
    <w:p w14:paraId="6AAFEEB4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AA7A6D8" w14:textId="10641615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Human Capital: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skills, knowledge, and experience of individuals that create economic value.</w:t>
      </w:r>
    </w:p>
    <w:p w14:paraId="207CABA2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CB85EAB" w14:textId="7A656FBD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Hurdle Rate: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The minimum required return for an investment to be considered acceptable.</w:t>
      </w:r>
    </w:p>
    <w:p w14:paraId="1A37C9FA" w14:textId="77777777" w:rsidR="007F7C97" w:rsidRDefault="007F7C97" w:rsidP="00182DAE">
      <w:pP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814BAC9" w14:textId="69D136FF" w:rsidR="00182DAE" w:rsidRPr="00182DAE" w:rsidRDefault="00182DAE" w:rsidP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182DAE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Hybrid Security:</w:t>
      </w:r>
      <w:r w:rsidRPr="00182DAE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financial instrument combining features of both debt and equity.</w:t>
      </w:r>
    </w:p>
    <w:p w14:paraId="41BCB7E6" w14:textId="77777777" w:rsidR="00182DAE" w:rsidRDefault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EAC0694" w14:textId="77777777" w:rsidR="00182DAE" w:rsidRPr="00182DAE" w:rsidRDefault="00182DAE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EC981F" w14:textId="77777777" w:rsidR="00182DAE" w:rsidRPr="00182DAE" w:rsidRDefault="00182DAE"/>
    <w:sectPr w:rsidR="00182DAE" w:rsidRPr="00182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13F47"/>
    <w:multiLevelType w:val="multilevel"/>
    <w:tmpl w:val="8C5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89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27"/>
    <w:rsid w:val="00182DAE"/>
    <w:rsid w:val="002224FB"/>
    <w:rsid w:val="0027351D"/>
    <w:rsid w:val="002C4959"/>
    <w:rsid w:val="002E4FC1"/>
    <w:rsid w:val="004354FE"/>
    <w:rsid w:val="005258F9"/>
    <w:rsid w:val="00627EF6"/>
    <w:rsid w:val="00644A27"/>
    <w:rsid w:val="00765425"/>
    <w:rsid w:val="007C269C"/>
    <w:rsid w:val="007F7C97"/>
    <w:rsid w:val="0086417D"/>
    <w:rsid w:val="008C2806"/>
    <w:rsid w:val="0090131E"/>
    <w:rsid w:val="00A41A35"/>
    <w:rsid w:val="00A67237"/>
    <w:rsid w:val="00B365CE"/>
    <w:rsid w:val="00BC4381"/>
    <w:rsid w:val="00D428EB"/>
    <w:rsid w:val="00EC0045"/>
    <w:rsid w:val="00F45932"/>
    <w:rsid w:val="00F82593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0549"/>
  <w15:chartTrackingRefBased/>
  <w15:docId w15:val="{1A6D800F-43BC-43C7-AA9A-A259F1FC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A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A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5</cp:revision>
  <dcterms:created xsi:type="dcterms:W3CDTF">2026-05-24T06:52:00Z</dcterms:created>
  <dcterms:modified xsi:type="dcterms:W3CDTF">2026-05-24T08:41:00Z</dcterms:modified>
</cp:coreProperties>
</file>