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6572" w14:textId="77777777" w:rsidR="00B2467B" w:rsidRPr="00E009F1" w:rsidRDefault="00000000">
      <w:pPr>
        <w:jc w:val="center"/>
        <w:rPr>
          <w:rFonts w:ascii="Univers" w:eastAsia="Open Sans" w:hAnsi="Univers" w:cs="Open Sans"/>
          <w:b/>
          <w:bCs/>
          <w:sz w:val="24"/>
          <w:szCs w:val="24"/>
        </w:rPr>
      </w:pPr>
      <w:r w:rsidRPr="00E009F1">
        <w:rPr>
          <w:rFonts w:ascii="Univers" w:hAnsi="Univers"/>
          <w:b/>
          <w:bCs/>
          <w:sz w:val="32"/>
          <w:szCs w:val="32"/>
        </w:rPr>
        <w:t>RESEARCH AND PUBLICATIONS</w:t>
      </w:r>
    </w:p>
    <w:p w14:paraId="60C56573" w14:textId="77777777" w:rsidR="00B2467B" w:rsidRDefault="00B2467B" w:rsidP="00BD0A39">
      <w:pPr>
        <w:rPr>
          <w:rFonts w:ascii="Univers" w:eastAsia="Open Sans" w:hAnsi="Univers" w:cs="Open Sans"/>
          <w:sz w:val="20"/>
          <w:szCs w:val="20"/>
        </w:rPr>
      </w:pPr>
    </w:p>
    <w:p w14:paraId="530ADFD4" w14:textId="77777777" w:rsidR="00BD0A39" w:rsidRPr="00E009F1" w:rsidRDefault="00BD0A39" w:rsidP="00BD0A39">
      <w:pPr>
        <w:rPr>
          <w:rFonts w:ascii="Univers" w:eastAsia="Open Sans" w:hAnsi="Univers" w:cs="Open Sans"/>
          <w:sz w:val="20"/>
          <w:szCs w:val="20"/>
        </w:rPr>
      </w:pPr>
    </w:p>
    <w:p w14:paraId="60C56574" w14:textId="66562E08" w:rsidR="00B2467B" w:rsidRPr="00E009F1" w:rsidRDefault="00000000" w:rsidP="00BD0A39">
      <w:pPr>
        <w:rPr>
          <w:rFonts w:ascii="Univers" w:eastAsia="Open Sans" w:hAnsi="Univers" w:cs="Open Sans"/>
          <w:b/>
          <w:bCs/>
          <w:sz w:val="24"/>
          <w:szCs w:val="24"/>
        </w:rPr>
      </w:pPr>
      <w:r w:rsidRPr="00E009F1">
        <w:rPr>
          <w:rFonts w:ascii="Univers" w:eastAsia="Open Sans" w:hAnsi="Univers" w:cs="Open Sans"/>
          <w:b/>
          <w:bCs/>
          <w:sz w:val="24"/>
          <w:szCs w:val="24"/>
        </w:rPr>
        <w:t>The International Journal of Equity Analysis</w:t>
      </w:r>
    </w:p>
    <w:p w14:paraId="60C56575" w14:textId="77777777" w:rsidR="00B2467B" w:rsidRPr="00E009F1" w:rsidRDefault="00B2467B" w:rsidP="00BD0A39">
      <w:pPr>
        <w:rPr>
          <w:rFonts w:ascii="Univers" w:eastAsia="Open Sans" w:hAnsi="Univers" w:cs="Open Sans"/>
          <w:sz w:val="20"/>
          <w:szCs w:val="20"/>
        </w:rPr>
      </w:pPr>
    </w:p>
    <w:p w14:paraId="60C56576" w14:textId="1C0BD2E4"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The International Journal of Equity Analysis </w:t>
      </w:r>
      <w:r w:rsidR="00A43FAF">
        <w:rPr>
          <w:rFonts w:ascii="Univers" w:eastAsia="Open Sans" w:hAnsi="Univers" w:cs="Open Sans"/>
          <w:sz w:val="20"/>
          <w:szCs w:val="20"/>
        </w:rPr>
        <w:t>will aim to be</w:t>
      </w:r>
      <w:r w:rsidRPr="00E009F1">
        <w:rPr>
          <w:rFonts w:ascii="Univers" w:eastAsia="Open Sans" w:hAnsi="Univers" w:cs="Open Sans"/>
          <w:sz w:val="20"/>
          <w:szCs w:val="20"/>
        </w:rPr>
        <w:t xml:space="preserve"> the Society's principal scholarly publication and is intended to become the primary vehicle through which original research reaches the membership and the wider profession. It is being designed as peer-reviewed in the fullest sense — submissions will be assessed by practitioners and academics with direct expertise in the subject matter, not by generalist editorial staff seeking publishable volume. The Journal's standing will depend on this discipline, and the Society intends to treat editorial rigour as non-negotiable from its first issue.</w:t>
      </w:r>
    </w:p>
    <w:p w14:paraId="60C56577" w14:textId="77777777" w:rsidR="00B2467B" w:rsidRPr="00E009F1" w:rsidRDefault="00B2467B" w:rsidP="00BD0A39">
      <w:pPr>
        <w:rPr>
          <w:rFonts w:ascii="Univers" w:eastAsia="Open Sans" w:hAnsi="Univers" w:cs="Open Sans"/>
          <w:sz w:val="20"/>
          <w:szCs w:val="20"/>
        </w:rPr>
      </w:pPr>
    </w:p>
    <w:p w14:paraId="60C56578" w14:textId="575E5409"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The Journal </w:t>
      </w:r>
      <w:r w:rsidR="000005EE">
        <w:rPr>
          <w:rFonts w:ascii="Univers" w:eastAsia="Open Sans" w:hAnsi="Univers" w:cs="Open Sans"/>
          <w:sz w:val="20"/>
          <w:szCs w:val="20"/>
        </w:rPr>
        <w:t xml:space="preserve">will </w:t>
      </w:r>
      <w:r w:rsidRPr="00E009F1">
        <w:rPr>
          <w:rFonts w:ascii="Univers" w:eastAsia="Open Sans" w:hAnsi="Univers" w:cs="Open Sans"/>
          <w:sz w:val="20"/>
          <w:szCs w:val="20"/>
        </w:rPr>
        <w:t xml:space="preserve">publish original research on valuation methodology, market microstructure, disclosure quality, behavioural influences on analyst judgement, and the evolving regulatory frameworks governing research conduct. Submissions </w:t>
      </w:r>
      <w:r w:rsidR="00A72130">
        <w:rPr>
          <w:rFonts w:ascii="Univers" w:eastAsia="Open Sans" w:hAnsi="Univers" w:cs="Open Sans"/>
          <w:sz w:val="20"/>
          <w:szCs w:val="20"/>
        </w:rPr>
        <w:t>are</w:t>
      </w:r>
      <w:r w:rsidRPr="00E009F1">
        <w:rPr>
          <w:rFonts w:ascii="Univers" w:eastAsia="Open Sans" w:hAnsi="Univers" w:cs="Open Sans"/>
          <w:sz w:val="20"/>
          <w:szCs w:val="20"/>
        </w:rPr>
        <w:t xml:space="preserve"> expected to demonstrate methodological soundness and practical relevance; the Journal is not intended as an outlet for work that is theoretically elegant but disconnected from the realities of applied analysis. This orientation </w:t>
      </w:r>
      <w:r w:rsidR="00A72130">
        <w:rPr>
          <w:rFonts w:ascii="Univers" w:eastAsia="Open Sans" w:hAnsi="Univers" w:cs="Open Sans"/>
          <w:sz w:val="20"/>
          <w:szCs w:val="20"/>
        </w:rPr>
        <w:t>will</w:t>
      </w:r>
      <w:r w:rsidRPr="00E009F1">
        <w:rPr>
          <w:rFonts w:ascii="Univers" w:eastAsia="Open Sans" w:hAnsi="Univers" w:cs="Open Sans"/>
          <w:sz w:val="20"/>
          <w:szCs w:val="20"/>
        </w:rPr>
        <w:t xml:space="preserve"> distinguish it from purely academic finance journals and reflects the Society's conviction that research should inform practice, not merely accumulate citations.</w:t>
      </w:r>
    </w:p>
    <w:p w14:paraId="60C56579" w14:textId="77777777" w:rsidR="00B2467B" w:rsidRPr="00E009F1" w:rsidRDefault="00B2467B" w:rsidP="00BD0A39">
      <w:pPr>
        <w:rPr>
          <w:rFonts w:ascii="Univers" w:eastAsia="Open Sans" w:hAnsi="Univers" w:cs="Open Sans"/>
          <w:sz w:val="20"/>
          <w:szCs w:val="20"/>
        </w:rPr>
      </w:pPr>
    </w:p>
    <w:p w14:paraId="60C5657A" w14:textId="77777777"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Authors are expected to include senior Fellows, academic affiliates, regulatory economists and, on occasion, early-career analysts whose work meets the Journal's threshold despite limited publication history, as the Society's membership and affiliate network develop. The review process will be conducted under double-blind protocol where practicable, administered by the Editorial Board once constituted, in coordination with the relevant Global Advisory Committee for subject-matter verification.</w:t>
      </w:r>
    </w:p>
    <w:p w14:paraId="60C5657B" w14:textId="77777777" w:rsidR="00B2467B" w:rsidRPr="00E009F1" w:rsidRDefault="00B2467B" w:rsidP="00BD0A39">
      <w:pPr>
        <w:rPr>
          <w:rFonts w:ascii="Univers" w:eastAsia="Open Sans" w:hAnsi="Univers" w:cs="Open Sans"/>
          <w:sz w:val="20"/>
          <w:szCs w:val="20"/>
        </w:rPr>
      </w:pPr>
    </w:p>
    <w:p w14:paraId="60C5657C" w14:textId="77777777"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For future members, the Journal is intended to serve two functions: providing a credible reference for analytical questions that require more than a technical briefing can </w:t>
      </w:r>
      <w:proofErr w:type="gramStart"/>
      <w:r w:rsidRPr="00E009F1">
        <w:rPr>
          <w:rFonts w:ascii="Univers" w:eastAsia="Open Sans" w:hAnsi="Univers" w:cs="Open Sans"/>
          <w:sz w:val="20"/>
          <w:szCs w:val="20"/>
        </w:rPr>
        <w:t>offer, and</w:t>
      </w:r>
      <w:proofErr w:type="gramEnd"/>
      <w:r w:rsidRPr="00E009F1">
        <w:rPr>
          <w:rFonts w:ascii="Univers" w:eastAsia="Open Sans" w:hAnsi="Univers" w:cs="Open Sans"/>
          <w:sz w:val="20"/>
          <w:szCs w:val="20"/>
        </w:rPr>
        <w:t xml:space="preserve"> providing a recognised outlet through which members can contribute to the profession's intellectual foundations — a factor intended to be given weight in Fellowship review. For prospective members, the planned Journal is a useful indication of the intellectual seriousness the Society is building toward: not a trade publication produced for engagement metrics, but a scholarly record intended to withstand scrutiny from practitioners and academics alike, to be published on a quarterly cycle and archived permanently within the Society's research infrastructure as it is developed.</w:t>
      </w:r>
    </w:p>
    <w:p w14:paraId="60C5657D" w14:textId="77777777" w:rsidR="00B2467B" w:rsidRPr="00E009F1" w:rsidRDefault="00B2467B" w:rsidP="00BD0A39">
      <w:pPr>
        <w:rPr>
          <w:rFonts w:ascii="Univers" w:eastAsia="Open Sans" w:hAnsi="Univers" w:cs="Open Sans"/>
          <w:sz w:val="20"/>
          <w:szCs w:val="20"/>
        </w:rPr>
      </w:pPr>
    </w:p>
    <w:p w14:paraId="60C5657E" w14:textId="77777777" w:rsidR="00B2467B" w:rsidRPr="00E009F1" w:rsidRDefault="00000000" w:rsidP="00BD0A39">
      <w:pPr>
        <w:rPr>
          <w:rFonts w:ascii="Univers" w:eastAsia="Open Sans" w:hAnsi="Univers" w:cs="Open Sans"/>
          <w:b/>
          <w:bCs/>
          <w:sz w:val="24"/>
          <w:szCs w:val="24"/>
        </w:rPr>
      </w:pPr>
      <w:r w:rsidRPr="00E009F1">
        <w:rPr>
          <w:rFonts w:ascii="Univers" w:eastAsia="Open Sans" w:hAnsi="Univers" w:cs="Open Sans"/>
          <w:b/>
          <w:bCs/>
          <w:sz w:val="24"/>
          <w:szCs w:val="24"/>
        </w:rPr>
        <w:t>Global Market Outlook Reports</w:t>
      </w:r>
    </w:p>
    <w:p w14:paraId="60C5657F" w14:textId="77777777" w:rsidR="00B2467B" w:rsidRPr="00E009F1" w:rsidRDefault="00B2467B" w:rsidP="00BD0A39">
      <w:pPr>
        <w:rPr>
          <w:rFonts w:ascii="Univers" w:eastAsia="Open Sans" w:hAnsi="Univers" w:cs="Open Sans"/>
          <w:sz w:val="20"/>
          <w:szCs w:val="20"/>
        </w:rPr>
      </w:pPr>
    </w:p>
    <w:p w14:paraId="60C56580" w14:textId="13E42988"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The Society's Global Market Outlook Reports </w:t>
      </w:r>
      <w:r w:rsidR="00B20289">
        <w:rPr>
          <w:rFonts w:ascii="Univers" w:eastAsia="Open Sans" w:hAnsi="Univers" w:cs="Open Sans"/>
          <w:sz w:val="20"/>
          <w:szCs w:val="20"/>
        </w:rPr>
        <w:t>will</w:t>
      </w:r>
      <w:r w:rsidRPr="00E009F1">
        <w:rPr>
          <w:rFonts w:ascii="Univers" w:eastAsia="Open Sans" w:hAnsi="Univers" w:cs="Open Sans"/>
          <w:sz w:val="20"/>
          <w:szCs w:val="20"/>
        </w:rPr>
        <w:t xml:space="preserve"> provide members with a structured, cross-regional assessment of equity market conditions, to be prepared quarterly and grounded in the collective input of Global Advisory Committee members, regional chapter leadership and academic affiliates with relevant sector or geographic expertise, as these networks are established. These reports are not intended as trading recommendations or short-term market commentary. Their purpose </w:t>
      </w:r>
      <w:r w:rsidR="00077736">
        <w:rPr>
          <w:rFonts w:ascii="Univers" w:eastAsia="Open Sans" w:hAnsi="Univers" w:cs="Open Sans"/>
          <w:sz w:val="20"/>
          <w:szCs w:val="20"/>
        </w:rPr>
        <w:t>is</w:t>
      </w:r>
      <w:r w:rsidRPr="00E009F1">
        <w:rPr>
          <w:rFonts w:ascii="Univers" w:eastAsia="Open Sans" w:hAnsi="Univers" w:cs="Open Sans"/>
          <w:sz w:val="20"/>
          <w:szCs w:val="20"/>
        </w:rPr>
        <w:t xml:space="preserve"> to provide analysts with a disciplined framework for understanding structural conditions affecting valuation across major markets.</w:t>
      </w:r>
    </w:p>
    <w:p w14:paraId="60C56581" w14:textId="77777777" w:rsidR="00B2467B" w:rsidRPr="00E009F1" w:rsidRDefault="00B2467B" w:rsidP="00BD0A39">
      <w:pPr>
        <w:rPr>
          <w:rFonts w:ascii="Univers" w:eastAsia="Open Sans" w:hAnsi="Univers" w:cs="Open Sans"/>
          <w:sz w:val="20"/>
          <w:szCs w:val="20"/>
        </w:rPr>
      </w:pPr>
    </w:p>
    <w:p w14:paraId="60C56582" w14:textId="233E553E"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Each report </w:t>
      </w:r>
      <w:r w:rsidR="00F014CC">
        <w:rPr>
          <w:rFonts w:ascii="Univers" w:eastAsia="Open Sans" w:hAnsi="Univers" w:cs="Open Sans"/>
          <w:sz w:val="20"/>
          <w:szCs w:val="20"/>
        </w:rPr>
        <w:t>will</w:t>
      </w:r>
      <w:r w:rsidRPr="00E009F1">
        <w:rPr>
          <w:rFonts w:ascii="Univers" w:eastAsia="Open Sans" w:hAnsi="Univers" w:cs="Open Sans"/>
          <w:sz w:val="20"/>
          <w:szCs w:val="20"/>
        </w:rPr>
        <w:t xml:space="preserve"> address macroeconomic conditions relevant to equity valuation, sector-level developments, regulatory shifts likely to affect disclosure or market conduct, and structural risks that may not yet be reflected in prevailing analytical consensus. The Society's approach is being built to favour measured assessment over prediction. Contributors </w:t>
      </w:r>
      <w:r w:rsidR="00F014CC">
        <w:rPr>
          <w:rFonts w:ascii="Univers" w:eastAsia="Open Sans" w:hAnsi="Univers" w:cs="Open Sans"/>
          <w:sz w:val="20"/>
          <w:szCs w:val="20"/>
        </w:rPr>
        <w:t>are</w:t>
      </w:r>
      <w:r w:rsidRPr="00E009F1">
        <w:rPr>
          <w:rFonts w:ascii="Univers" w:eastAsia="Open Sans" w:hAnsi="Univers" w:cs="Open Sans"/>
          <w:sz w:val="20"/>
          <w:szCs w:val="20"/>
        </w:rPr>
        <w:t xml:space="preserve"> expected to present reasoned judgement supported by evidence, with appropriate acknowledgment of uncertainty — a standard consistent with the Research Objectivity Standards the Society requires of its membership.</w:t>
      </w:r>
    </w:p>
    <w:p w14:paraId="60C56583" w14:textId="77777777" w:rsidR="00B2467B" w:rsidRPr="00E009F1" w:rsidRDefault="00B2467B" w:rsidP="00BD0A39">
      <w:pPr>
        <w:rPr>
          <w:rFonts w:ascii="Univers" w:eastAsia="Open Sans" w:hAnsi="Univers" w:cs="Open Sans"/>
          <w:sz w:val="20"/>
          <w:szCs w:val="20"/>
        </w:rPr>
      </w:pPr>
    </w:p>
    <w:p w14:paraId="60C56584" w14:textId="59A4570E"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Regional sections </w:t>
      </w:r>
      <w:r w:rsidR="00577D72">
        <w:rPr>
          <w:rFonts w:ascii="Univers" w:eastAsia="Open Sans" w:hAnsi="Univers" w:cs="Open Sans"/>
          <w:sz w:val="20"/>
          <w:szCs w:val="20"/>
        </w:rPr>
        <w:t>will</w:t>
      </w:r>
      <w:r w:rsidRPr="00E009F1">
        <w:rPr>
          <w:rFonts w:ascii="Univers" w:eastAsia="Open Sans" w:hAnsi="Univers" w:cs="Open Sans"/>
          <w:sz w:val="20"/>
          <w:szCs w:val="20"/>
        </w:rPr>
        <w:t xml:space="preserve"> be prepared with input from chapter leadership in the relevant markets, once established, ensuring that local regulatory nuance and market structure are represented accurately rather than generalised from a single dominant market's conditions. This reflects the Society's broader commitment to maintaining coherent global standards without flattening meaningful regional distinctions.</w:t>
      </w:r>
    </w:p>
    <w:p w14:paraId="60C56585" w14:textId="77777777" w:rsidR="00B2467B" w:rsidRPr="00E009F1" w:rsidRDefault="00B2467B" w:rsidP="00BD0A39">
      <w:pPr>
        <w:rPr>
          <w:rFonts w:ascii="Univers" w:eastAsia="Open Sans" w:hAnsi="Univers" w:cs="Open Sans"/>
          <w:sz w:val="20"/>
          <w:szCs w:val="20"/>
        </w:rPr>
      </w:pPr>
    </w:p>
    <w:p w14:paraId="60C56586" w14:textId="3A378171" w:rsidR="00B2467B" w:rsidRPr="00E009F1" w:rsidRDefault="006822F5" w:rsidP="00BD0A39">
      <w:pPr>
        <w:rPr>
          <w:rFonts w:ascii="Univers" w:eastAsia="Open Sans" w:hAnsi="Univers" w:cs="Open Sans"/>
          <w:sz w:val="20"/>
          <w:szCs w:val="20"/>
        </w:rPr>
      </w:pPr>
      <w:r>
        <w:rPr>
          <w:rFonts w:ascii="Univers" w:eastAsia="Open Sans" w:hAnsi="Univers" w:cs="Open Sans"/>
          <w:sz w:val="20"/>
          <w:szCs w:val="20"/>
        </w:rPr>
        <w:t>T</w:t>
      </w:r>
      <w:r w:rsidR="00000000" w:rsidRPr="00E009F1">
        <w:rPr>
          <w:rFonts w:ascii="Univers" w:eastAsia="Open Sans" w:hAnsi="Univers" w:cs="Open Sans"/>
          <w:sz w:val="20"/>
          <w:szCs w:val="20"/>
        </w:rPr>
        <w:t xml:space="preserve">he reports </w:t>
      </w:r>
      <w:r w:rsidR="00577D72">
        <w:rPr>
          <w:rFonts w:ascii="Univers" w:eastAsia="Open Sans" w:hAnsi="Univers" w:cs="Open Sans"/>
          <w:sz w:val="20"/>
          <w:szCs w:val="20"/>
        </w:rPr>
        <w:t>will</w:t>
      </w:r>
      <w:r w:rsidR="00000000" w:rsidRPr="00E009F1">
        <w:rPr>
          <w:rFonts w:ascii="Univers" w:eastAsia="Open Sans" w:hAnsi="Univers" w:cs="Open Sans"/>
          <w:sz w:val="20"/>
          <w:szCs w:val="20"/>
        </w:rPr>
        <w:t xml:space="preserve"> be distributed to all Members and Fellows as a core benefit of membership, and selectively to institutional partners and regulatory bodies with which the Society develops formal relationships. Corporate and Institutional Members will be able to request sector-specific extensions of the standard report, prepared on a case basis for internal research purposes.</w:t>
      </w:r>
    </w:p>
    <w:p w14:paraId="60C56587" w14:textId="77777777" w:rsidR="00B2467B" w:rsidRPr="00E009F1" w:rsidRDefault="00B2467B" w:rsidP="00BD0A39">
      <w:pPr>
        <w:rPr>
          <w:rFonts w:ascii="Univers" w:eastAsia="Open Sans" w:hAnsi="Univers" w:cs="Open Sans"/>
          <w:sz w:val="20"/>
          <w:szCs w:val="20"/>
        </w:rPr>
      </w:pPr>
    </w:p>
    <w:p w14:paraId="60C56588" w14:textId="03C8B499"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For future members, the Outlook Reports </w:t>
      </w:r>
      <w:r w:rsidR="006822F5">
        <w:rPr>
          <w:rFonts w:ascii="Univers" w:eastAsia="Open Sans" w:hAnsi="Univers" w:cs="Open Sans"/>
          <w:sz w:val="20"/>
          <w:szCs w:val="20"/>
        </w:rPr>
        <w:t>will</w:t>
      </w:r>
      <w:r w:rsidRPr="00E009F1">
        <w:rPr>
          <w:rFonts w:ascii="Univers" w:eastAsia="Open Sans" w:hAnsi="Univers" w:cs="Open Sans"/>
          <w:sz w:val="20"/>
          <w:szCs w:val="20"/>
        </w:rPr>
        <w:t xml:space="preserve"> offer a reliable, professionally rigorous complement to internal research — a second, independently produced perspective against which internal conclusions can be tested. For prospective members, the plan for these reports illustrates the intended practical value of Society membership: structured, high-quality analytical output produced specifically for practitioners, rather than repackaged commentary intended for a general financial media audience.</w:t>
      </w:r>
    </w:p>
    <w:p w14:paraId="60C56589" w14:textId="77777777" w:rsidR="00B2467B" w:rsidRPr="00E009F1" w:rsidRDefault="00B2467B" w:rsidP="00BD0A39">
      <w:pPr>
        <w:rPr>
          <w:rFonts w:ascii="Univers" w:eastAsia="Open Sans" w:hAnsi="Univers" w:cs="Open Sans"/>
          <w:sz w:val="20"/>
          <w:szCs w:val="20"/>
        </w:rPr>
      </w:pPr>
    </w:p>
    <w:p w14:paraId="60C5658A" w14:textId="77777777" w:rsidR="00B2467B" w:rsidRPr="00E009F1" w:rsidRDefault="00000000" w:rsidP="00BD0A39">
      <w:pPr>
        <w:rPr>
          <w:rFonts w:ascii="Univers" w:eastAsia="Open Sans" w:hAnsi="Univers" w:cs="Open Sans"/>
          <w:b/>
          <w:bCs/>
          <w:sz w:val="24"/>
          <w:szCs w:val="24"/>
        </w:rPr>
      </w:pPr>
      <w:r w:rsidRPr="00E009F1">
        <w:rPr>
          <w:rFonts w:ascii="Univers" w:eastAsia="Open Sans" w:hAnsi="Univers" w:cs="Open Sans"/>
          <w:b/>
          <w:bCs/>
          <w:sz w:val="24"/>
          <w:szCs w:val="24"/>
        </w:rPr>
        <w:t>White Papers &amp; Occasional Research Papers</w:t>
      </w:r>
    </w:p>
    <w:p w14:paraId="60C5658B" w14:textId="77777777" w:rsidR="00B2467B" w:rsidRPr="00E009F1" w:rsidRDefault="00B2467B" w:rsidP="00BD0A39">
      <w:pPr>
        <w:rPr>
          <w:rFonts w:ascii="Univers" w:eastAsia="Open Sans" w:hAnsi="Univers" w:cs="Open Sans"/>
          <w:sz w:val="20"/>
          <w:szCs w:val="20"/>
        </w:rPr>
      </w:pPr>
    </w:p>
    <w:p w14:paraId="60C5658C" w14:textId="77777777"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The Society's White Papers and Occasional Research Papers are being established as a publication channel for analytical work that does not fit the periodic cycle of the Global Market Outlook Reports or the formal peer-review requirements of the International Journal of Equity Analysis, but which nonetheless merits serious circulation among the membership. This category is being created because meaningful analytical insight does not always arrive on a predictable schedule, and the Society does not intend to delay useful research to fit an editorial calendar once operational.</w:t>
      </w:r>
    </w:p>
    <w:p w14:paraId="60C5658D" w14:textId="77777777" w:rsidR="00B2467B" w:rsidRPr="00E009F1" w:rsidRDefault="00B2467B" w:rsidP="00BD0A39">
      <w:pPr>
        <w:rPr>
          <w:rFonts w:ascii="Univers" w:eastAsia="Open Sans" w:hAnsi="Univers" w:cs="Open Sans"/>
          <w:sz w:val="20"/>
          <w:szCs w:val="20"/>
        </w:rPr>
      </w:pPr>
    </w:p>
    <w:p w14:paraId="60C5658E" w14:textId="519AEDBB"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White Papers address emerging methodological questions, structural changes in specific markets or sectors, or the practical implications of regulatory developments as they unfold — work timely enough to warrant expedited circulation rather than the longer review cycle appropriate to peer-reviewed scholarship. Occasional Papers cover a broader range, including retrospective analysis of significant market events, cross-sector comparative studies, and exploratory work on analytical techniques not yet sufficiently developed for formal peer review.</w:t>
      </w:r>
    </w:p>
    <w:p w14:paraId="60C5658F" w14:textId="77777777" w:rsidR="00B2467B" w:rsidRPr="00E009F1" w:rsidRDefault="00B2467B" w:rsidP="00BD0A39">
      <w:pPr>
        <w:rPr>
          <w:rFonts w:ascii="Univers" w:eastAsia="Open Sans" w:hAnsi="Univers" w:cs="Open Sans"/>
          <w:sz w:val="20"/>
          <w:szCs w:val="20"/>
        </w:rPr>
      </w:pPr>
    </w:p>
    <w:p w14:paraId="60C56590" w14:textId="3F9EF686"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Both categories undergo review by the relevant Global Advisory Committee prior to publication, once constituted, ensuring that content meets the Society's analytical standards even where the formal peer-review process of the Journal is not applied. This distinction is intended to be made transparent to readers, allowing members to calibrate the weight they place on a given paper's conclusions relative to fully peer-reviewed research.</w:t>
      </w:r>
    </w:p>
    <w:p w14:paraId="60C56591" w14:textId="77777777" w:rsidR="00B2467B" w:rsidRPr="00E009F1" w:rsidRDefault="00B2467B" w:rsidP="00BD0A39">
      <w:pPr>
        <w:rPr>
          <w:rFonts w:ascii="Univers" w:eastAsia="Open Sans" w:hAnsi="Univers" w:cs="Open Sans"/>
          <w:sz w:val="20"/>
          <w:szCs w:val="20"/>
        </w:rPr>
      </w:pPr>
    </w:p>
    <w:p w14:paraId="60C56592" w14:textId="77777777"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Contributions will be accepted from Members, Fellows, academic affiliates and, in select circumstances, institutional members whose internal research teams have produced work of sufficient quality and relevance to warrant wider circulation. Authorship will be attributed clearly, and the Society's endorsement is intended to extend only to the rigour of the review process, not necessarily to every conclusion presented — a distinction the Society considers essential to maintaining intellectual honesty within its publications.</w:t>
      </w:r>
    </w:p>
    <w:p w14:paraId="60C56593" w14:textId="77777777" w:rsidR="00B2467B" w:rsidRPr="00E009F1" w:rsidRDefault="00B2467B" w:rsidP="00BD0A39">
      <w:pPr>
        <w:rPr>
          <w:rFonts w:ascii="Univers" w:eastAsia="Open Sans" w:hAnsi="Univers" w:cs="Open Sans"/>
          <w:sz w:val="20"/>
          <w:szCs w:val="20"/>
        </w:rPr>
      </w:pPr>
    </w:p>
    <w:p w14:paraId="60C56594" w14:textId="4704FAD9"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For future members, this body of work</w:t>
      </w:r>
      <w:r w:rsidR="00B20289">
        <w:rPr>
          <w:rFonts w:ascii="Univers" w:eastAsia="Open Sans" w:hAnsi="Univers" w:cs="Open Sans"/>
          <w:sz w:val="20"/>
          <w:szCs w:val="20"/>
        </w:rPr>
        <w:t xml:space="preserve"> will</w:t>
      </w:r>
      <w:r w:rsidRPr="00E009F1">
        <w:rPr>
          <w:rFonts w:ascii="Univers" w:eastAsia="Open Sans" w:hAnsi="Univers" w:cs="Open Sans"/>
          <w:sz w:val="20"/>
          <w:szCs w:val="20"/>
        </w:rPr>
        <w:t xml:space="preserve"> provide earlier access to emerging analytical thinking than the Journal's longer cycle will permit. For prospective members, the plan for this series demonstrates the Society's intended capacity to remain responsive to a rapidly changing profession without compromising the standards it will apply to what it publishes.</w:t>
      </w:r>
    </w:p>
    <w:p w14:paraId="60C56595" w14:textId="77777777" w:rsidR="00B2467B" w:rsidRPr="00E009F1" w:rsidRDefault="00B2467B" w:rsidP="00BD0A39">
      <w:pPr>
        <w:rPr>
          <w:rFonts w:ascii="Univers" w:eastAsia="Open Sans" w:hAnsi="Univers" w:cs="Open Sans"/>
          <w:sz w:val="20"/>
          <w:szCs w:val="20"/>
        </w:rPr>
      </w:pPr>
    </w:p>
    <w:p w14:paraId="60C56596" w14:textId="77777777" w:rsidR="00B2467B" w:rsidRPr="00E009F1" w:rsidRDefault="00000000" w:rsidP="00BD0A39">
      <w:pPr>
        <w:rPr>
          <w:rFonts w:ascii="Univers" w:eastAsia="Open Sans" w:hAnsi="Univers" w:cs="Open Sans"/>
          <w:b/>
          <w:bCs/>
          <w:sz w:val="24"/>
          <w:szCs w:val="24"/>
        </w:rPr>
      </w:pPr>
      <w:r w:rsidRPr="00E009F1">
        <w:rPr>
          <w:rFonts w:ascii="Univers" w:eastAsia="Open Sans" w:hAnsi="Univers" w:cs="Open Sans"/>
          <w:b/>
          <w:bCs/>
          <w:sz w:val="24"/>
          <w:szCs w:val="24"/>
        </w:rPr>
        <w:lastRenderedPageBreak/>
        <w:t>Analyst Standards &amp; Best Practice Guidelines</w:t>
      </w:r>
    </w:p>
    <w:p w14:paraId="60C56597" w14:textId="77777777" w:rsidR="00B2467B" w:rsidRPr="00E009F1" w:rsidRDefault="00B2467B" w:rsidP="00BD0A39">
      <w:pPr>
        <w:rPr>
          <w:rFonts w:ascii="Univers" w:eastAsia="Open Sans" w:hAnsi="Univers" w:cs="Open Sans"/>
          <w:sz w:val="20"/>
          <w:szCs w:val="20"/>
        </w:rPr>
      </w:pPr>
    </w:p>
    <w:p w14:paraId="60C56598" w14:textId="5A6C4FF6"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This section sets out the Society's professional standards — the practical, applied counterpart to the ethical principles established under the</w:t>
      </w:r>
      <w:r w:rsidR="00D657B2">
        <w:rPr>
          <w:rFonts w:ascii="Univers" w:eastAsia="Open Sans" w:hAnsi="Univers" w:cs="Open Sans"/>
          <w:sz w:val="20"/>
          <w:szCs w:val="20"/>
        </w:rPr>
        <w:t xml:space="preserve"> CFA Institute’s</w:t>
      </w:r>
      <w:r w:rsidRPr="00E009F1">
        <w:rPr>
          <w:rFonts w:ascii="Univers" w:eastAsia="Open Sans" w:hAnsi="Univers" w:cs="Open Sans"/>
          <w:sz w:val="20"/>
          <w:szCs w:val="20"/>
        </w:rPr>
        <w:t xml:space="preserve"> Code of Ethics &amp; </w:t>
      </w:r>
      <w:r w:rsidR="00A3109C">
        <w:rPr>
          <w:rFonts w:ascii="Univers" w:eastAsia="Open Sans" w:hAnsi="Univers" w:cs="Open Sans"/>
          <w:sz w:val="20"/>
          <w:szCs w:val="20"/>
        </w:rPr>
        <w:t xml:space="preserve">Standards of </w:t>
      </w:r>
      <w:r w:rsidRPr="00E009F1">
        <w:rPr>
          <w:rFonts w:ascii="Univers" w:eastAsia="Open Sans" w:hAnsi="Univers" w:cs="Open Sans"/>
          <w:sz w:val="20"/>
          <w:szCs w:val="20"/>
        </w:rPr>
        <w:t>Professional Conduct</w:t>
      </w:r>
      <w:r w:rsidR="008D5B7D">
        <w:rPr>
          <w:rFonts w:ascii="Univers" w:eastAsia="Open Sans" w:hAnsi="Univers" w:cs="Open Sans"/>
          <w:sz w:val="20"/>
          <w:szCs w:val="20"/>
        </w:rPr>
        <w:t xml:space="preserve"> </w:t>
      </w:r>
      <w:hyperlink r:id="rId5" w:history="1">
        <w:r w:rsidR="008D5B7D" w:rsidRPr="003662E5">
          <w:rPr>
            <w:rStyle w:val="Hyperlink"/>
            <w:rFonts w:ascii="Univers" w:eastAsia="Open Sans" w:hAnsi="Univers" w:cs="Open Sans"/>
            <w:sz w:val="20"/>
            <w:szCs w:val="20"/>
          </w:rPr>
          <w:t>https://www.cfainstitute.org/standards/professionals/code-ethics-standards</w:t>
        </w:r>
      </w:hyperlink>
      <w:r w:rsidRPr="00E009F1">
        <w:rPr>
          <w:rFonts w:ascii="Univers" w:eastAsia="Open Sans" w:hAnsi="Univers" w:cs="Open Sans"/>
          <w:sz w:val="20"/>
          <w:szCs w:val="20"/>
        </w:rPr>
        <w:t xml:space="preserve">. </w:t>
      </w:r>
      <w:r w:rsidR="005D73DD">
        <w:rPr>
          <w:rFonts w:ascii="Univers" w:eastAsia="Open Sans" w:hAnsi="Univers" w:cs="Open Sans"/>
          <w:sz w:val="20"/>
          <w:szCs w:val="20"/>
        </w:rPr>
        <w:t xml:space="preserve"> </w:t>
      </w:r>
    </w:p>
    <w:p w14:paraId="60C56599" w14:textId="77777777" w:rsidR="00B2467B" w:rsidRPr="00E009F1" w:rsidRDefault="00B2467B" w:rsidP="00BD0A39">
      <w:pPr>
        <w:rPr>
          <w:rFonts w:ascii="Univers" w:eastAsia="Open Sans" w:hAnsi="Univers" w:cs="Open Sans"/>
          <w:sz w:val="20"/>
          <w:szCs w:val="20"/>
        </w:rPr>
      </w:pPr>
    </w:p>
    <w:p w14:paraId="60C5659A" w14:textId="4177AF1D"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The guidelines will incorporate the Research Objectivity Standards (ROS) </w:t>
      </w:r>
      <w:hyperlink r:id="rId6" w:history="1">
        <w:r w:rsidR="00887C41" w:rsidRPr="003662E5">
          <w:rPr>
            <w:rStyle w:val="Hyperlink"/>
            <w:rFonts w:ascii="Univers" w:eastAsia="Open Sans" w:hAnsi="Univers" w:cs="Open Sans"/>
            <w:sz w:val="20"/>
            <w:szCs w:val="20"/>
          </w:rPr>
          <w:t>http://rgquintero.com/media/718213af1d8e30deffff8168ffffe905.pdf</w:t>
        </w:r>
      </w:hyperlink>
      <w:r w:rsidR="00887C41">
        <w:rPr>
          <w:rFonts w:ascii="Univers" w:eastAsia="Open Sans" w:hAnsi="Univers" w:cs="Open Sans"/>
          <w:sz w:val="20"/>
          <w:szCs w:val="20"/>
        </w:rPr>
        <w:t xml:space="preserve"> </w:t>
      </w:r>
      <w:r w:rsidRPr="00E009F1">
        <w:rPr>
          <w:rFonts w:ascii="Univers" w:eastAsia="Open Sans" w:hAnsi="Univers" w:cs="Open Sans"/>
          <w:sz w:val="20"/>
          <w:szCs w:val="20"/>
        </w:rPr>
        <w:t xml:space="preserve">and the Best Practice Guidelines Governing Analyst/Corporate Issuer Relations </w:t>
      </w:r>
      <w:hyperlink r:id="rId7" w:history="1">
        <w:r w:rsidR="00907AB1" w:rsidRPr="003662E5">
          <w:rPr>
            <w:rStyle w:val="Hyperlink"/>
            <w:rFonts w:ascii="Univers" w:eastAsia="Open Sans" w:hAnsi="Univers" w:cs="Open Sans"/>
            <w:sz w:val="20"/>
            <w:szCs w:val="20"/>
          </w:rPr>
          <w:t>https://rpc.cfainstitute.org/sites/default/files/-/media/documents/code/other-codes-standards/analyst-issuer-guidelines.pdf</w:t>
        </w:r>
      </w:hyperlink>
      <w:r w:rsidR="00907AB1">
        <w:rPr>
          <w:rFonts w:ascii="Univers" w:eastAsia="Open Sans" w:hAnsi="Univers" w:cs="Open Sans"/>
          <w:sz w:val="20"/>
          <w:szCs w:val="20"/>
        </w:rPr>
        <w:t xml:space="preserve"> </w:t>
      </w:r>
      <w:r w:rsidRPr="00E009F1">
        <w:rPr>
          <w:rFonts w:ascii="Univers" w:eastAsia="Open Sans" w:hAnsi="Univers" w:cs="Open Sans"/>
          <w:sz w:val="20"/>
          <w:szCs w:val="20"/>
        </w:rPr>
        <w:t>in full, supplemented by Society-specific guidance to be developed by the Global Advisory Committees on matters not fully addressed by these adopted frameworks — including cross-border research distribution, the handling of sector-specific conflicts, and standards for the use of alternative data in research production. This layered structure is intended to allow the Society to align with globally recognised benchmarks while addressing gaps that emerge as market practice evolves.</w:t>
      </w:r>
    </w:p>
    <w:p w14:paraId="60C5659B" w14:textId="77777777" w:rsidR="00B2467B" w:rsidRPr="00E009F1" w:rsidRDefault="00B2467B" w:rsidP="00BD0A39">
      <w:pPr>
        <w:rPr>
          <w:rFonts w:ascii="Univers" w:eastAsia="Open Sans" w:hAnsi="Univers" w:cs="Open Sans"/>
          <w:sz w:val="20"/>
          <w:szCs w:val="20"/>
        </w:rPr>
      </w:pPr>
    </w:p>
    <w:p w14:paraId="60C5659C" w14:textId="0BE00A91"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Guidance </w:t>
      </w:r>
      <w:r w:rsidR="00FF5D44">
        <w:rPr>
          <w:rFonts w:ascii="Univers" w:eastAsia="Open Sans" w:hAnsi="Univers" w:cs="Open Sans"/>
          <w:sz w:val="20"/>
          <w:szCs w:val="20"/>
        </w:rPr>
        <w:t>is</w:t>
      </w:r>
      <w:r w:rsidR="00EF1756">
        <w:rPr>
          <w:rFonts w:ascii="Univers" w:eastAsia="Open Sans" w:hAnsi="Univers" w:cs="Open Sans"/>
          <w:sz w:val="20"/>
          <w:szCs w:val="20"/>
        </w:rPr>
        <w:t xml:space="preserve"> </w:t>
      </w:r>
      <w:r w:rsidRPr="00E009F1">
        <w:rPr>
          <w:rFonts w:ascii="Univers" w:eastAsia="Open Sans" w:hAnsi="Univers" w:cs="Open Sans"/>
          <w:sz w:val="20"/>
          <w:szCs w:val="20"/>
        </w:rPr>
        <w:t>organised by analytical function and cover areas including valuation methodology disclosure, the handling of forward-looking statements, appropriate caveats around model assumptions, and the documentation standards expected of research intended for institutional distribution. The Society treat</w:t>
      </w:r>
      <w:r w:rsidR="00EF1756">
        <w:rPr>
          <w:rFonts w:ascii="Univers" w:eastAsia="Open Sans" w:hAnsi="Univers" w:cs="Open Sans"/>
          <w:sz w:val="20"/>
          <w:szCs w:val="20"/>
        </w:rPr>
        <w:t>s</w:t>
      </w:r>
      <w:r w:rsidRPr="00E009F1">
        <w:rPr>
          <w:rFonts w:ascii="Univers" w:eastAsia="Open Sans" w:hAnsi="Univers" w:cs="Open Sans"/>
          <w:sz w:val="20"/>
          <w:szCs w:val="20"/>
        </w:rPr>
        <w:t xml:space="preserve"> these guidelines as enforceable in substance, not merely advisory in tone. Members </w:t>
      </w:r>
      <w:r w:rsidR="00EF1756">
        <w:rPr>
          <w:rFonts w:ascii="Univers" w:eastAsia="Open Sans" w:hAnsi="Univers" w:cs="Open Sans"/>
          <w:sz w:val="20"/>
          <w:szCs w:val="20"/>
        </w:rPr>
        <w:t>are</w:t>
      </w:r>
      <w:r w:rsidRPr="00E009F1">
        <w:rPr>
          <w:rFonts w:ascii="Univers" w:eastAsia="Open Sans" w:hAnsi="Univers" w:cs="Open Sans"/>
          <w:sz w:val="20"/>
          <w:szCs w:val="20"/>
        </w:rPr>
        <w:t xml:space="preserve"> expected to demonstrate familiarity with them as a condition of maintaining designation rights, with adherence assessed as part of the disciplinary framework once established.</w:t>
      </w:r>
    </w:p>
    <w:p w14:paraId="60C5659D" w14:textId="77777777" w:rsidR="00B2467B" w:rsidRPr="00E009F1" w:rsidRDefault="00B2467B" w:rsidP="00BD0A39">
      <w:pPr>
        <w:rPr>
          <w:rFonts w:ascii="Univers" w:eastAsia="Open Sans" w:hAnsi="Univers" w:cs="Open Sans"/>
          <w:sz w:val="20"/>
          <w:szCs w:val="20"/>
        </w:rPr>
      </w:pPr>
    </w:p>
    <w:p w14:paraId="60C5659E" w14:textId="2C23250E"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The guidelines </w:t>
      </w:r>
      <w:r w:rsidR="00EF1756">
        <w:rPr>
          <w:rFonts w:ascii="Univers" w:eastAsia="Open Sans" w:hAnsi="Univers" w:cs="Open Sans"/>
          <w:sz w:val="20"/>
          <w:szCs w:val="20"/>
        </w:rPr>
        <w:t xml:space="preserve">are </w:t>
      </w:r>
      <w:r w:rsidRPr="00E009F1">
        <w:rPr>
          <w:rFonts w:ascii="Univers" w:eastAsia="Open Sans" w:hAnsi="Univers" w:cs="Open Sans"/>
          <w:sz w:val="20"/>
          <w:szCs w:val="20"/>
        </w:rPr>
        <w:t xml:space="preserve">reviewed on a rolling basis by the relevant Advisory Committee to ensure continued relevance as market structures, regulatory regimes and analytical techniques develop. Material revisions </w:t>
      </w:r>
      <w:r w:rsidR="002C3AE3">
        <w:rPr>
          <w:rFonts w:ascii="Univers" w:eastAsia="Open Sans" w:hAnsi="Univers" w:cs="Open Sans"/>
          <w:sz w:val="20"/>
          <w:szCs w:val="20"/>
        </w:rPr>
        <w:t>are</w:t>
      </w:r>
      <w:r w:rsidRPr="00E009F1">
        <w:rPr>
          <w:rFonts w:ascii="Univers" w:eastAsia="Open Sans" w:hAnsi="Univers" w:cs="Open Sans"/>
          <w:sz w:val="20"/>
          <w:szCs w:val="20"/>
        </w:rPr>
        <w:t xml:space="preserve"> communicated to the membership directly, with an accompanying explanation of the reasoning behind the change — reflecting the Society's broader commitment to governing itself with the same transparency it expects of its members.</w:t>
      </w:r>
    </w:p>
    <w:p w14:paraId="60C5659F" w14:textId="77777777" w:rsidR="00B2467B" w:rsidRPr="00E009F1" w:rsidRDefault="00B2467B" w:rsidP="00BD0A39">
      <w:pPr>
        <w:rPr>
          <w:rFonts w:ascii="Univers" w:eastAsia="Open Sans" w:hAnsi="Univers" w:cs="Open Sans"/>
          <w:sz w:val="20"/>
          <w:szCs w:val="20"/>
        </w:rPr>
      </w:pPr>
    </w:p>
    <w:p w14:paraId="60C565A0" w14:textId="5CB569CB"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For future members, this resource function</w:t>
      </w:r>
      <w:r w:rsidR="002C3AE3">
        <w:rPr>
          <w:rFonts w:ascii="Univers" w:eastAsia="Open Sans" w:hAnsi="Univers" w:cs="Open Sans"/>
          <w:sz w:val="20"/>
          <w:szCs w:val="20"/>
        </w:rPr>
        <w:t>s</w:t>
      </w:r>
      <w:r w:rsidRPr="00E009F1">
        <w:rPr>
          <w:rFonts w:ascii="Univers" w:eastAsia="Open Sans" w:hAnsi="Univers" w:cs="Open Sans"/>
          <w:sz w:val="20"/>
          <w:szCs w:val="20"/>
        </w:rPr>
        <w:t xml:space="preserve"> as a working reference for analytical conduct. For prospective members and institutional partners, it demonstrates the Society's intention that its standards be operational rather than aspirational once in force — a working discipline applied consistently across the global membership as it develops.</w:t>
      </w:r>
    </w:p>
    <w:p w14:paraId="60C565A3" w14:textId="77777777" w:rsidR="00B2467B" w:rsidRPr="00E009F1" w:rsidRDefault="00B2467B" w:rsidP="00BD0A39">
      <w:pPr>
        <w:rPr>
          <w:rFonts w:ascii="Univers" w:eastAsia="Open Sans" w:hAnsi="Univers" w:cs="Open Sans"/>
          <w:sz w:val="20"/>
          <w:szCs w:val="20"/>
        </w:rPr>
      </w:pPr>
    </w:p>
    <w:p w14:paraId="60C565A4" w14:textId="77777777" w:rsidR="00B2467B" w:rsidRPr="00E009F1" w:rsidRDefault="00000000" w:rsidP="00BD0A39">
      <w:pPr>
        <w:rPr>
          <w:rFonts w:ascii="Univers" w:eastAsia="Open Sans" w:hAnsi="Univers" w:cs="Open Sans"/>
          <w:b/>
          <w:bCs/>
          <w:sz w:val="24"/>
          <w:szCs w:val="24"/>
        </w:rPr>
      </w:pPr>
      <w:r w:rsidRPr="00E009F1">
        <w:rPr>
          <w:rFonts w:ascii="Univers" w:eastAsia="Open Sans" w:hAnsi="Univers" w:cs="Open Sans"/>
          <w:b/>
          <w:bCs/>
          <w:sz w:val="24"/>
          <w:szCs w:val="24"/>
        </w:rPr>
        <w:t>Society Library &amp; Archives</w:t>
      </w:r>
    </w:p>
    <w:p w14:paraId="60C565A5" w14:textId="77777777" w:rsidR="00B2467B" w:rsidRPr="00E009F1" w:rsidRDefault="00B2467B" w:rsidP="00BD0A39">
      <w:pPr>
        <w:rPr>
          <w:rFonts w:ascii="Univers" w:eastAsia="Open Sans" w:hAnsi="Univers" w:cs="Open Sans"/>
          <w:sz w:val="20"/>
          <w:szCs w:val="20"/>
        </w:rPr>
      </w:pPr>
    </w:p>
    <w:p w14:paraId="60C565A6" w14:textId="05A2D70E"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The Society Library &amp; Archives preserve</w:t>
      </w:r>
      <w:r w:rsidR="00843909">
        <w:rPr>
          <w:rFonts w:ascii="Univers" w:eastAsia="Open Sans" w:hAnsi="Univers" w:cs="Open Sans"/>
          <w:sz w:val="20"/>
          <w:szCs w:val="20"/>
        </w:rPr>
        <w:t>s</w:t>
      </w:r>
      <w:r w:rsidRPr="00E009F1">
        <w:rPr>
          <w:rFonts w:ascii="Univers" w:eastAsia="Open Sans" w:hAnsi="Univers" w:cs="Open Sans"/>
          <w:sz w:val="20"/>
          <w:szCs w:val="20"/>
        </w:rPr>
        <w:t xml:space="preserve"> the institutional record of the profession as the Society documents it going forward — publications, editions of the International Journal of Equity Analysis, successive versions of the Analyst Standards, governance disclosures, and research produced under the Society's name from its founding onward. This is not intended as a marketing archive curated for favourable presentation. It is built as a complete institutional record, including material that will reflect the evolution — and, where it occurs, correction — of the Society's positions over time.</w:t>
      </w:r>
    </w:p>
    <w:p w14:paraId="60C565A7" w14:textId="77777777" w:rsidR="00B2467B" w:rsidRPr="00E009F1" w:rsidRDefault="00B2467B" w:rsidP="00BD0A39">
      <w:pPr>
        <w:rPr>
          <w:rFonts w:ascii="Univers" w:eastAsia="Open Sans" w:hAnsi="Univers" w:cs="Open Sans"/>
          <w:sz w:val="20"/>
          <w:szCs w:val="20"/>
        </w:rPr>
      </w:pPr>
    </w:p>
    <w:p w14:paraId="60C565A8" w14:textId="1AF6B5A2"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Access to the Library serve</w:t>
      </w:r>
      <w:r w:rsidR="00843909">
        <w:rPr>
          <w:rFonts w:ascii="Univers" w:eastAsia="Open Sans" w:hAnsi="Univers" w:cs="Open Sans"/>
          <w:sz w:val="20"/>
          <w:szCs w:val="20"/>
        </w:rPr>
        <w:t>s</w:t>
      </w:r>
      <w:r w:rsidRPr="00E009F1">
        <w:rPr>
          <w:rFonts w:ascii="Univers" w:eastAsia="Open Sans" w:hAnsi="Univers" w:cs="Open Sans"/>
          <w:sz w:val="20"/>
          <w:szCs w:val="20"/>
        </w:rPr>
        <w:t xml:space="preserve"> a specific analytical purpose. Understanding how a valuation methodology, disclosure standard or ethical position has changed over time is often as instructive as understanding its current form, particularly for analysts examining long-run market behaviour or the regulatory history of a specific issue. The Archives, as they accumulate, are intended to allow members to trace this evolution directly, rather than relying on secondary summaries that may omit important nuance.</w:t>
      </w:r>
    </w:p>
    <w:p w14:paraId="60C565A9" w14:textId="77777777" w:rsidR="00B2467B" w:rsidRPr="00E009F1" w:rsidRDefault="00B2467B" w:rsidP="00BD0A39">
      <w:pPr>
        <w:rPr>
          <w:rFonts w:ascii="Univers" w:eastAsia="Open Sans" w:hAnsi="Univers" w:cs="Open Sans"/>
          <w:sz w:val="20"/>
          <w:szCs w:val="20"/>
        </w:rPr>
      </w:pPr>
    </w:p>
    <w:p w14:paraId="60C565AA" w14:textId="49A0E0DC"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lastRenderedPageBreak/>
        <w:t xml:space="preserve">The </w:t>
      </w:r>
      <w:proofErr w:type="gramStart"/>
      <w:r w:rsidRPr="00E009F1">
        <w:rPr>
          <w:rFonts w:ascii="Univers" w:eastAsia="Open Sans" w:hAnsi="Univers" w:cs="Open Sans"/>
          <w:sz w:val="20"/>
          <w:szCs w:val="20"/>
        </w:rPr>
        <w:t>Library</w:t>
      </w:r>
      <w:proofErr w:type="gramEnd"/>
      <w:r w:rsidRPr="00E009F1">
        <w:rPr>
          <w:rFonts w:ascii="Univers" w:eastAsia="Open Sans" w:hAnsi="Univers" w:cs="Open Sans"/>
          <w:sz w:val="20"/>
          <w:szCs w:val="20"/>
        </w:rPr>
        <w:t xml:space="preserve"> also maintain</w:t>
      </w:r>
      <w:r w:rsidR="00DF4DD9">
        <w:rPr>
          <w:rFonts w:ascii="Univers" w:eastAsia="Open Sans" w:hAnsi="Univers" w:cs="Open Sans"/>
          <w:sz w:val="20"/>
          <w:szCs w:val="20"/>
        </w:rPr>
        <w:t>s</w:t>
      </w:r>
      <w:r w:rsidRPr="00E009F1">
        <w:rPr>
          <w:rFonts w:ascii="Univers" w:eastAsia="Open Sans" w:hAnsi="Univers" w:cs="Open Sans"/>
          <w:sz w:val="20"/>
          <w:szCs w:val="20"/>
        </w:rPr>
        <w:t xml:space="preserve"> historical Global Market Outlook Reports and White Papers as these are published over time, providing a longitudinal record against which past analytical judgements can be assessed with the benefit of hindsight — a practice the Society intends to encourage as a form of professional self-examination. Members reviewing their own prior published work, or that of the profession more broadly, </w:t>
      </w:r>
      <w:r w:rsidR="00E1535B">
        <w:rPr>
          <w:rFonts w:ascii="Univers" w:eastAsia="Open Sans" w:hAnsi="Univers" w:cs="Open Sans"/>
          <w:sz w:val="20"/>
          <w:szCs w:val="20"/>
        </w:rPr>
        <w:t>are</w:t>
      </w:r>
      <w:r w:rsidRPr="00E009F1">
        <w:rPr>
          <w:rFonts w:ascii="Univers" w:eastAsia="Open Sans" w:hAnsi="Univers" w:cs="Open Sans"/>
          <w:sz w:val="20"/>
          <w:szCs w:val="20"/>
        </w:rPr>
        <w:t xml:space="preserve"> able to evaluate the durability of analytical conclusions against subsequent market developments.</w:t>
      </w:r>
    </w:p>
    <w:p w14:paraId="60C565AB" w14:textId="77777777" w:rsidR="00B2467B" w:rsidRPr="00E009F1" w:rsidRDefault="00B2467B" w:rsidP="00BD0A39">
      <w:pPr>
        <w:rPr>
          <w:rFonts w:ascii="Univers" w:eastAsia="Open Sans" w:hAnsi="Univers" w:cs="Open Sans"/>
          <w:sz w:val="20"/>
          <w:szCs w:val="20"/>
        </w:rPr>
      </w:pPr>
    </w:p>
    <w:p w14:paraId="60C565AC" w14:textId="78EF994B" w:rsidR="00B2467B" w:rsidRPr="00E009F1" w:rsidRDefault="00E1535B" w:rsidP="00BD0A39">
      <w:pPr>
        <w:rPr>
          <w:rFonts w:ascii="Univers" w:eastAsia="Open Sans" w:hAnsi="Univers" w:cs="Open Sans"/>
          <w:sz w:val="20"/>
          <w:szCs w:val="20"/>
        </w:rPr>
      </w:pPr>
      <w:r>
        <w:rPr>
          <w:rFonts w:ascii="Univers" w:eastAsia="Open Sans" w:hAnsi="Univers" w:cs="Open Sans"/>
          <w:sz w:val="20"/>
          <w:szCs w:val="20"/>
        </w:rPr>
        <w:t>A</w:t>
      </w:r>
      <w:r w:rsidR="00000000" w:rsidRPr="00E009F1">
        <w:rPr>
          <w:rFonts w:ascii="Univers" w:eastAsia="Open Sans" w:hAnsi="Univers" w:cs="Open Sans"/>
          <w:sz w:val="20"/>
          <w:szCs w:val="20"/>
        </w:rPr>
        <w:t xml:space="preserve">ccess </w:t>
      </w:r>
      <w:r>
        <w:rPr>
          <w:rFonts w:ascii="Univers" w:eastAsia="Open Sans" w:hAnsi="Univers" w:cs="Open Sans"/>
          <w:sz w:val="20"/>
          <w:szCs w:val="20"/>
        </w:rPr>
        <w:t>is</w:t>
      </w:r>
      <w:r w:rsidR="00000000" w:rsidRPr="00E009F1">
        <w:rPr>
          <w:rFonts w:ascii="Univers" w:eastAsia="Open Sans" w:hAnsi="Univers" w:cs="Open Sans"/>
          <w:sz w:val="20"/>
          <w:szCs w:val="20"/>
        </w:rPr>
        <w:t xml:space="preserve"> provided to all Members and Fellows as a standing benefit, with selective access extended to academic affiliates conducting research in partnership with the Society. Certain governance and disciplinary records will be maintained under restricted access consistent with confidentiality obligations, though summary disclosures are intended to remain available through the Annual Reports &amp; Governance Disclosures section.</w:t>
      </w:r>
    </w:p>
    <w:p w14:paraId="60C565AD" w14:textId="77777777" w:rsidR="00B2467B" w:rsidRPr="00E009F1" w:rsidRDefault="00B2467B" w:rsidP="00BD0A39">
      <w:pPr>
        <w:rPr>
          <w:rFonts w:ascii="Univers" w:eastAsia="Open Sans" w:hAnsi="Univers" w:cs="Open Sans"/>
          <w:sz w:val="20"/>
          <w:szCs w:val="20"/>
        </w:rPr>
      </w:pPr>
    </w:p>
    <w:p w14:paraId="60C565AE" w14:textId="310C9257"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For future members, the </w:t>
      </w:r>
      <w:proofErr w:type="gramStart"/>
      <w:r w:rsidRPr="00E009F1">
        <w:rPr>
          <w:rFonts w:ascii="Univers" w:eastAsia="Open Sans" w:hAnsi="Univers" w:cs="Open Sans"/>
          <w:sz w:val="20"/>
          <w:szCs w:val="20"/>
        </w:rPr>
        <w:t>Library</w:t>
      </w:r>
      <w:proofErr w:type="gramEnd"/>
      <w:r w:rsidRPr="00E009F1">
        <w:rPr>
          <w:rFonts w:ascii="Univers" w:eastAsia="Open Sans" w:hAnsi="Univers" w:cs="Open Sans"/>
          <w:sz w:val="20"/>
          <w:szCs w:val="20"/>
        </w:rPr>
        <w:t xml:space="preserve"> represent</w:t>
      </w:r>
      <w:r w:rsidR="00161249">
        <w:rPr>
          <w:rFonts w:ascii="Univers" w:eastAsia="Open Sans" w:hAnsi="Univers" w:cs="Open Sans"/>
          <w:sz w:val="20"/>
          <w:szCs w:val="20"/>
        </w:rPr>
        <w:t>s</w:t>
      </w:r>
      <w:r w:rsidRPr="00E009F1">
        <w:rPr>
          <w:rFonts w:ascii="Univers" w:eastAsia="Open Sans" w:hAnsi="Univers" w:cs="Open Sans"/>
          <w:sz w:val="20"/>
          <w:szCs w:val="20"/>
        </w:rPr>
        <w:t xml:space="preserve"> an institutional memory available for direct consultation rather than institutional folklore. For prospective members, the </w:t>
      </w:r>
      <w:proofErr w:type="gramStart"/>
      <w:r w:rsidRPr="00E009F1">
        <w:rPr>
          <w:rFonts w:ascii="Univers" w:eastAsia="Open Sans" w:hAnsi="Univers" w:cs="Open Sans"/>
          <w:sz w:val="20"/>
          <w:szCs w:val="20"/>
        </w:rPr>
        <w:t>Library</w:t>
      </w:r>
      <w:proofErr w:type="gramEnd"/>
      <w:r w:rsidRPr="00E009F1">
        <w:rPr>
          <w:rFonts w:ascii="Univers" w:eastAsia="Open Sans" w:hAnsi="Univers" w:cs="Open Sans"/>
          <w:sz w:val="20"/>
          <w:szCs w:val="20"/>
        </w:rPr>
        <w:t xml:space="preserve"> offers an indication of an organisation intending to develop its standards through documented, deliberate refinement — not an unexamined tradition asserted without record.</w:t>
      </w:r>
    </w:p>
    <w:p w14:paraId="60C565AF" w14:textId="77777777" w:rsidR="00B2467B" w:rsidRPr="00E009F1" w:rsidRDefault="00B2467B" w:rsidP="00BD0A39">
      <w:pPr>
        <w:rPr>
          <w:rFonts w:ascii="Univers" w:eastAsia="Open Sans" w:hAnsi="Univers" w:cs="Open Sans"/>
          <w:sz w:val="20"/>
          <w:szCs w:val="20"/>
        </w:rPr>
      </w:pPr>
    </w:p>
    <w:p w14:paraId="60C565B0" w14:textId="77777777" w:rsidR="00B2467B" w:rsidRPr="00E009F1" w:rsidRDefault="00000000" w:rsidP="00BD0A39">
      <w:pPr>
        <w:rPr>
          <w:rFonts w:ascii="Univers" w:eastAsia="Open Sans" w:hAnsi="Univers" w:cs="Open Sans"/>
          <w:b/>
          <w:bCs/>
          <w:sz w:val="24"/>
          <w:szCs w:val="24"/>
        </w:rPr>
      </w:pPr>
      <w:r w:rsidRPr="00E009F1">
        <w:rPr>
          <w:rFonts w:ascii="Univers" w:eastAsia="Open Sans" w:hAnsi="Univers" w:cs="Open Sans"/>
          <w:b/>
          <w:bCs/>
          <w:sz w:val="24"/>
          <w:szCs w:val="24"/>
        </w:rPr>
        <w:t>Call for Papers &amp; Editorial Board</w:t>
      </w:r>
    </w:p>
    <w:p w14:paraId="60C565B1" w14:textId="77777777" w:rsidR="00B2467B" w:rsidRPr="00E009F1" w:rsidRDefault="00B2467B" w:rsidP="00BD0A39">
      <w:pPr>
        <w:rPr>
          <w:rFonts w:ascii="Univers" w:eastAsia="Open Sans" w:hAnsi="Univers" w:cs="Open Sans"/>
          <w:sz w:val="20"/>
          <w:szCs w:val="20"/>
        </w:rPr>
      </w:pPr>
    </w:p>
    <w:p w14:paraId="60C565B2" w14:textId="5681C37E"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The Society </w:t>
      </w:r>
      <w:r w:rsidR="00295BF8">
        <w:rPr>
          <w:rFonts w:ascii="Univers" w:eastAsia="Open Sans" w:hAnsi="Univers" w:cs="Open Sans"/>
          <w:sz w:val="20"/>
          <w:szCs w:val="20"/>
        </w:rPr>
        <w:t xml:space="preserve">will </w:t>
      </w:r>
      <w:r w:rsidRPr="00E009F1">
        <w:rPr>
          <w:rFonts w:ascii="Univers" w:eastAsia="Open Sans" w:hAnsi="Univers" w:cs="Open Sans"/>
          <w:sz w:val="20"/>
          <w:szCs w:val="20"/>
        </w:rPr>
        <w:t>issue periodic Calls for Papers to direct research attention toward areas of the profession requiring further scholarly or applied examination — topics to be identified by the Editorial Board, the Global Advisory Committees, or emerging gaps observed in existing published literature, once these bodies are constituted. These calls will specify the analytical scope sought, the review standard to be applied, and whether a given call is directed toward the International Journal of Equity Analysis, the White Paper series, or both.</w:t>
      </w:r>
    </w:p>
    <w:p w14:paraId="60C565B3" w14:textId="77777777" w:rsidR="00B2467B" w:rsidRPr="00E009F1" w:rsidRDefault="00B2467B" w:rsidP="00BD0A39">
      <w:pPr>
        <w:rPr>
          <w:rFonts w:ascii="Univers" w:eastAsia="Open Sans" w:hAnsi="Univers" w:cs="Open Sans"/>
          <w:sz w:val="20"/>
          <w:szCs w:val="20"/>
        </w:rPr>
      </w:pPr>
    </w:p>
    <w:p w14:paraId="60C565B4" w14:textId="77777777"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Submissions will be accepted from Members, Fellows, academic affiliates and qualified non-members whose work meets the relevant standard, though authorship by Society members is intended to receive no preferential treatment in the review process itself — a distinction the Society considers essential to the credibility of its publications. All submissions will undergo the review protocol appropriate to their intended publication channel, as outlined under the relevant sections of this Research &amp; Publications framework.</w:t>
      </w:r>
    </w:p>
    <w:p w14:paraId="60C565B5" w14:textId="77777777" w:rsidR="00B2467B" w:rsidRPr="00E009F1" w:rsidRDefault="00B2467B" w:rsidP="00BD0A39">
      <w:pPr>
        <w:rPr>
          <w:rFonts w:ascii="Univers" w:eastAsia="Open Sans" w:hAnsi="Univers" w:cs="Open Sans"/>
          <w:sz w:val="20"/>
          <w:szCs w:val="20"/>
        </w:rPr>
      </w:pPr>
    </w:p>
    <w:p w14:paraId="60C565B6" w14:textId="0ABB29AB"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 xml:space="preserve">An Editorial Board </w:t>
      </w:r>
      <w:r w:rsidR="00102FD2">
        <w:rPr>
          <w:rFonts w:ascii="Univers" w:eastAsia="Open Sans" w:hAnsi="Univers" w:cs="Open Sans"/>
          <w:sz w:val="20"/>
          <w:szCs w:val="20"/>
        </w:rPr>
        <w:t xml:space="preserve">is </w:t>
      </w:r>
      <w:r w:rsidRPr="00E009F1">
        <w:rPr>
          <w:rFonts w:ascii="Univers" w:eastAsia="Open Sans" w:hAnsi="Univers" w:cs="Open Sans"/>
          <w:sz w:val="20"/>
          <w:szCs w:val="20"/>
        </w:rPr>
        <w:t xml:space="preserve">established to oversee this process in its entirety. Its members are intended to be senior Fellows, academic affiliates and, where subject matter requires it, external specialists appointed for defined terms based on their standing within a particular area of analytical or regulatory expertise. </w:t>
      </w:r>
      <w:r w:rsidR="00BA0CAA">
        <w:rPr>
          <w:rFonts w:ascii="Univers" w:eastAsia="Open Sans" w:hAnsi="Univers" w:cs="Open Sans"/>
          <w:sz w:val="20"/>
          <w:szCs w:val="20"/>
        </w:rPr>
        <w:t>T</w:t>
      </w:r>
      <w:r w:rsidRPr="00E009F1">
        <w:rPr>
          <w:rFonts w:ascii="Univers" w:eastAsia="Open Sans" w:hAnsi="Univers" w:cs="Open Sans"/>
          <w:sz w:val="20"/>
          <w:szCs w:val="20"/>
        </w:rPr>
        <w:t xml:space="preserve">he Board </w:t>
      </w:r>
      <w:r w:rsidR="00BA0CAA">
        <w:rPr>
          <w:rFonts w:ascii="Univers" w:eastAsia="Open Sans" w:hAnsi="Univers" w:cs="Open Sans"/>
          <w:sz w:val="20"/>
          <w:szCs w:val="20"/>
        </w:rPr>
        <w:t>is</w:t>
      </w:r>
      <w:r w:rsidRPr="00E009F1">
        <w:rPr>
          <w:rFonts w:ascii="Univers" w:eastAsia="Open Sans" w:hAnsi="Univers" w:cs="Open Sans"/>
          <w:sz w:val="20"/>
          <w:szCs w:val="20"/>
        </w:rPr>
        <w:t xml:space="preserve"> responsible for setting the Journal's editorial direction, resolving disputes arising from the review process, and ensuring that published work — across all categories — meets the standard the Society's name is expected to signal.</w:t>
      </w:r>
    </w:p>
    <w:p w14:paraId="60C565B7" w14:textId="77777777" w:rsidR="00B2467B" w:rsidRPr="00E009F1" w:rsidRDefault="00B2467B" w:rsidP="00BD0A39">
      <w:pPr>
        <w:rPr>
          <w:rFonts w:ascii="Univers" w:eastAsia="Open Sans" w:hAnsi="Univers" w:cs="Open Sans"/>
          <w:sz w:val="20"/>
          <w:szCs w:val="20"/>
        </w:rPr>
      </w:pPr>
    </w:p>
    <w:p w14:paraId="60C565B8" w14:textId="16DF3F47"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Board appointments will be reviewed periodically to ensure the composition reflects current analytical priorities and maintains appropriate geographic and sectoral representation. Service on the Editorial Board will be regarded by the Society as a significant professional contribution, weighed accordingly in Fellowship review.</w:t>
      </w:r>
    </w:p>
    <w:p w14:paraId="60C565B9" w14:textId="77777777" w:rsidR="00B2467B" w:rsidRPr="00E009F1" w:rsidRDefault="00B2467B" w:rsidP="00BD0A39">
      <w:pPr>
        <w:rPr>
          <w:rFonts w:ascii="Univers" w:eastAsia="Open Sans" w:hAnsi="Univers" w:cs="Open Sans"/>
          <w:sz w:val="20"/>
          <w:szCs w:val="20"/>
        </w:rPr>
      </w:pPr>
    </w:p>
    <w:p w14:paraId="60C565BA" w14:textId="35A28890" w:rsidR="00B2467B" w:rsidRPr="00E009F1" w:rsidRDefault="00000000" w:rsidP="00BD0A39">
      <w:pPr>
        <w:rPr>
          <w:rFonts w:ascii="Univers" w:eastAsia="Open Sans" w:hAnsi="Univers" w:cs="Open Sans"/>
          <w:sz w:val="20"/>
          <w:szCs w:val="20"/>
        </w:rPr>
      </w:pPr>
      <w:r w:rsidRPr="00E009F1">
        <w:rPr>
          <w:rFonts w:ascii="Univers" w:eastAsia="Open Sans" w:hAnsi="Univers" w:cs="Open Sans"/>
          <w:sz w:val="20"/>
          <w:szCs w:val="20"/>
        </w:rPr>
        <w:t>For future members considering a submission, the Call for Papers process offer</w:t>
      </w:r>
      <w:r w:rsidR="00102FD2">
        <w:rPr>
          <w:rFonts w:ascii="Univers" w:eastAsia="Open Sans" w:hAnsi="Univers" w:cs="Open Sans"/>
          <w:sz w:val="20"/>
          <w:szCs w:val="20"/>
        </w:rPr>
        <w:t>s</w:t>
      </w:r>
      <w:r w:rsidRPr="00E009F1">
        <w:rPr>
          <w:rFonts w:ascii="Univers" w:eastAsia="Open Sans" w:hAnsi="Univers" w:cs="Open Sans"/>
          <w:sz w:val="20"/>
          <w:szCs w:val="20"/>
        </w:rPr>
        <w:t xml:space="preserve"> a transparent route to contributing to the profession's published record. For prospective members, the plan for a formally constituted Editorial Board — rather than an informal or ad hoc review arrangement — signals the institutional seriousness with which the Society intends to treat its publications.</w:t>
      </w:r>
    </w:p>
    <w:p w14:paraId="60C565BB" w14:textId="77777777" w:rsidR="00B2467B" w:rsidRPr="00E009F1" w:rsidRDefault="00B2467B">
      <w:pPr>
        <w:jc w:val="both"/>
        <w:rPr>
          <w:rFonts w:ascii="Univers" w:eastAsia="Open Sans" w:hAnsi="Univers" w:cs="Open Sans"/>
          <w:sz w:val="20"/>
          <w:szCs w:val="20"/>
        </w:rPr>
      </w:pPr>
    </w:p>
    <w:sectPr w:rsidR="00B2467B" w:rsidRPr="00E009F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B185A47-423D-4400-80BD-7817B68DFCD0}"/>
    <w:embedBold r:id="rId2" w:fontKey="{6FADC960-E0E1-4B54-B456-313858B39451}"/>
    <w:embedItalic r:id="rId3" w:fontKey="{26507367-8449-42FA-B917-38125C326D03}"/>
  </w:font>
  <w:font w:name="Play">
    <w:charset w:val="00"/>
    <w:family w:val="auto"/>
    <w:pitch w:val="default"/>
    <w:embedRegular r:id="rId4" w:fontKey="{90673347-3E03-4213-8152-DFE192C5F538}"/>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5" w:fontKey="{1F309C32-D36E-4A85-B7F6-EF589EE2B004}"/>
    <w:embedBold r:id="rId6" w:fontKey="{D95CC7D7-ADF5-40A0-8973-40DB36AF4890}"/>
  </w:font>
  <w:font w:name="Open Sans">
    <w:charset w:val="00"/>
    <w:family w:val="swiss"/>
    <w:pitch w:val="variable"/>
    <w:sig w:usb0="E00002EF" w:usb1="4000205B" w:usb2="00000028" w:usb3="00000000" w:csb0="0000019F" w:csb1="00000000"/>
    <w:embedRegular r:id="rId7" w:fontKey="{5BF1E0BE-0105-43FD-82F7-A828D05162ED}"/>
    <w:embedBold r:id="rId8" w:fontKey="{C975CF48-1612-425C-B929-127A09C765E8}"/>
  </w:font>
  <w:font w:name="Calibri">
    <w:panose1 w:val="020F0502020204030204"/>
    <w:charset w:val="00"/>
    <w:family w:val="swiss"/>
    <w:pitch w:val="variable"/>
    <w:sig w:usb0="E4002EFF" w:usb1="C200247B" w:usb2="00000009" w:usb3="00000000" w:csb0="000001FF" w:csb1="00000000"/>
    <w:embedRegular r:id="rId9" w:fontKey="{DF3E0ACF-A5F0-4ACB-9846-B4B9398A4A8F}"/>
  </w:font>
  <w:font w:name="Cambria">
    <w:panose1 w:val="02040503050406030204"/>
    <w:charset w:val="00"/>
    <w:family w:val="roman"/>
    <w:pitch w:val="variable"/>
    <w:sig w:usb0="E00006FF" w:usb1="420024FF" w:usb2="02000000" w:usb3="00000000" w:csb0="0000019F" w:csb1="00000000"/>
    <w:embedRegular r:id="rId10" w:fontKey="{1131D010-DC14-4A6E-9749-C0F182DF768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67B"/>
    <w:rsid w:val="000005EE"/>
    <w:rsid w:val="00077736"/>
    <w:rsid w:val="000815CF"/>
    <w:rsid w:val="000B1343"/>
    <w:rsid w:val="00102FD2"/>
    <w:rsid w:val="00161249"/>
    <w:rsid w:val="00295BF8"/>
    <w:rsid w:val="002C3AE3"/>
    <w:rsid w:val="00577D72"/>
    <w:rsid w:val="005A49F9"/>
    <w:rsid w:val="005D73DD"/>
    <w:rsid w:val="006822F5"/>
    <w:rsid w:val="007B7B48"/>
    <w:rsid w:val="00843909"/>
    <w:rsid w:val="00887C41"/>
    <w:rsid w:val="008905EF"/>
    <w:rsid w:val="008D5B7D"/>
    <w:rsid w:val="00907AB1"/>
    <w:rsid w:val="00915DE7"/>
    <w:rsid w:val="00A3109C"/>
    <w:rsid w:val="00A43FAF"/>
    <w:rsid w:val="00A72130"/>
    <w:rsid w:val="00B20289"/>
    <w:rsid w:val="00B2467B"/>
    <w:rsid w:val="00BA0CAA"/>
    <w:rsid w:val="00BD0A39"/>
    <w:rsid w:val="00D657B2"/>
    <w:rsid w:val="00D7725D"/>
    <w:rsid w:val="00DF4DD9"/>
    <w:rsid w:val="00E009F1"/>
    <w:rsid w:val="00E1535B"/>
    <w:rsid w:val="00ED2156"/>
    <w:rsid w:val="00EF1756"/>
    <w:rsid w:val="00F014CC"/>
    <w:rsid w:val="00F02797"/>
    <w:rsid w:val="00FF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656F"/>
  <w15:docId w15:val="{C1B91059-C9D4-4384-9BB1-A986921C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character" w:styleId="Hyperlink">
    <w:name w:val="Hyperlink"/>
    <w:basedOn w:val="DefaultParagraphFont"/>
    <w:uiPriority w:val="99"/>
    <w:unhideWhenUsed/>
    <w:rsid w:val="008D5B7D"/>
    <w:rPr>
      <w:color w:val="0000FF" w:themeColor="hyperlink"/>
      <w:u w:val="single"/>
    </w:rPr>
  </w:style>
  <w:style w:type="character" w:styleId="UnresolvedMention">
    <w:name w:val="Unresolved Mention"/>
    <w:basedOn w:val="DefaultParagraphFont"/>
    <w:uiPriority w:val="99"/>
    <w:semiHidden/>
    <w:unhideWhenUsed/>
    <w:rsid w:val="008D5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pc.cfainstitute.org/sites/default/files/-/media/documents/code/other-codes-standards/analyst-issuer-guidelines.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rgquintero.com/media/718213af1d8e30deffff8168ffffe905.pdf" TargetMode="External"/><Relationship Id="rId5" Type="http://schemas.openxmlformats.org/officeDocument/2006/relationships/hyperlink" Target="https://www.cfainstitute.org/standards/professionals/code-ethics-standard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DeVVt27SPphKJbyWtzUNlUhWNw==">CgMxLjA4AHIhMVF6aDR5NmNWWF9WMVpJdGNDb3VOdTdzZ01fcHRyQXZj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2129</Words>
  <Characters>13116</Characters>
  <Application>Microsoft Office Word</Application>
  <DocSecurity>0</DocSecurity>
  <Lines>226</Lines>
  <Paragraphs>46</Paragraphs>
  <ScaleCrop>false</ScaleCrop>
  <Company/>
  <LinksUpToDate>false</LinksUpToDate>
  <CharactersWithSpaces>15199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Nuraena Abad</cp:lastModifiedBy>
  <cp:revision>34</cp:revision>
  <dcterms:created xsi:type="dcterms:W3CDTF">2026-07-20T07:29:00Z</dcterms:created>
  <dcterms:modified xsi:type="dcterms:W3CDTF">2026-07-20T15:48:00Z</dcterms:modified>
</cp:coreProperties>
</file>