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7D94" w14:textId="77777777" w:rsidR="009435C0" w:rsidRPr="00A666F0" w:rsidRDefault="00000000">
      <w:pPr>
        <w:jc w:val="center"/>
        <w:rPr>
          <w:rFonts w:ascii="Univers" w:hAnsi="Univers"/>
          <w:b/>
          <w:bCs/>
          <w:sz w:val="32"/>
          <w:szCs w:val="32"/>
        </w:rPr>
      </w:pPr>
      <w:r w:rsidRPr="00A666F0">
        <w:rPr>
          <w:rFonts w:ascii="Univers" w:hAnsi="Univers"/>
          <w:b/>
          <w:bCs/>
          <w:sz w:val="32"/>
          <w:szCs w:val="32"/>
        </w:rPr>
        <w:t>EVENTS AND GLOBAL FORUMS</w:t>
      </w:r>
    </w:p>
    <w:p w14:paraId="41847D95" w14:textId="77777777" w:rsidR="009435C0" w:rsidRDefault="009435C0">
      <w:pPr>
        <w:rPr>
          <w:rFonts w:ascii="Univers" w:eastAsia="Open Sans" w:hAnsi="Univers" w:cs="Open Sans"/>
          <w:sz w:val="20"/>
          <w:szCs w:val="20"/>
        </w:rPr>
      </w:pPr>
    </w:p>
    <w:p w14:paraId="717F9845" w14:textId="77777777" w:rsidR="00D4330D" w:rsidRPr="00A666F0" w:rsidRDefault="00D4330D" w:rsidP="00F57991">
      <w:pPr>
        <w:rPr>
          <w:rFonts w:ascii="Univers" w:eastAsia="Open Sans" w:hAnsi="Univers" w:cs="Open Sans"/>
          <w:sz w:val="20"/>
          <w:szCs w:val="20"/>
        </w:rPr>
      </w:pPr>
    </w:p>
    <w:p w14:paraId="41847D96"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Annual Global Equity Conference</w:t>
      </w:r>
    </w:p>
    <w:p w14:paraId="41847D97" w14:textId="77777777" w:rsidR="009435C0" w:rsidRPr="00A666F0" w:rsidRDefault="009435C0" w:rsidP="00F57991">
      <w:pPr>
        <w:rPr>
          <w:rFonts w:ascii="Univers" w:eastAsia="Open Sans" w:hAnsi="Univers" w:cs="Open Sans"/>
          <w:sz w:val="20"/>
          <w:szCs w:val="20"/>
        </w:rPr>
      </w:pPr>
    </w:p>
    <w:p w14:paraId="41847D98"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Every institution eventually reveals what it actually values through the events it chooses to stage, and the Annual Global Equity Conference is being designed to be where the Society's priorities become unmistakable. It is not conceived as an occasion to be seen at. It is being planned because certain questions in equity analysis — methodological, regulatory, ethical — benefit from being argued out in a room of people equipped to disagree intelligently, rather than left to circulate indefinitely across disconnected commentary.</w:t>
      </w:r>
    </w:p>
    <w:p w14:paraId="41847D99" w14:textId="77777777" w:rsidR="009435C0" w:rsidRPr="00A666F0" w:rsidRDefault="009435C0" w:rsidP="00F57991">
      <w:pPr>
        <w:rPr>
          <w:rFonts w:ascii="Univers" w:eastAsia="Open Sans" w:hAnsi="Univers" w:cs="Open Sans"/>
          <w:sz w:val="20"/>
          <w:szCs w:val="20"/>
        </w:rPr>
      </w:pPr>
    </w:p>
    <w:p w14:paraId="41847D9A"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 xml:space="preserve">The theme for the inaugural conference, and each </w:t>
      </w:r>
      <w:proofErr w:type="gramStart"/>
      <w:r w:rsidRPr="00A666F0">
        <w:rPr>
          <w:rFonts w:ascii="Univers" w:eastAsia="Open Sans" w:hAnsi="Univers" w:cs="Open Sans"/>
          <w:sz w:val="20"/>
          <w:szCs w:val="20"/>
        </w:rPr>
        <w:t>cycle</w:t>
      </w:r>
      <w:proofErr w:type="gramEnd"/>
      <w:r w:rsidRPr="00A666F0">
        <w:rPr>
          <w:rFonts w:ascii="Univers" w:eastAsia="Open Sans" w:hAnsi="Univers" w:cs="Open Sans"/>
          <w:sz w:val="20"/>
          <w:szCs w:val="20"/>
        </w:rPr>
        <w:t xml:space="preserve"> thereafter, will be set by the Leadership Council, in consultation with the relevant Global Advisory Committees, and will be chosen for analytical weight rather than topical convenience. Session design is intended to reflect this: speakers will present a position and then defend it, under direct challenge from senior practitioners in attendance, rather than deliver a keynote insulated from response. A conference that permitted its presenters to go unchallenged would contradict the standard the Society expects its members to apply in their own research.</w:t>
      </w:r>
    </w:p>
    <w:p w14:paraId="41847D9B" w14:textId="77777777" w:rsidR="009435C0" w:rsidRPr="00A666F0" w:rsidRDefault="009435C0" w:rsidP="00F57991">
      <w:pPr>
        <w:rPr>
          <w:rFonts w:ascii="Univers" w:eastAsia="Open Sans" w:hAnsi="Univers" w:cs="Open Sans"/>
          <w:sz w:val="20"/>
          <w:szCs w:val="20"/>
        </w:rPr>
      </w:pPr>
    </w:p>
    <w:p w14:paraId="41847D9C"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 audience is intended to be deliberately composed — Fellows, institutional investors, regulators, academic affiliates and senior chapter representatives drawn from across the Society's developing global footprint — so that a question raised in one jurisdiction can be answered, or complicated, by someone operating under an entirely different regulatory regime. That friction is the intended point.</w:t>
      </w:r>
    </w:p>
    <w:p w14:paraId="41847D9D" w14:textId="77777777" w:rsidR="009435C0" w:rsidRPr="00A666F0" w:rsidRDefault="009435C0" w:rsidP="00F57991">
      <w:pPr>
        <w:rPr>
          <w:rFonts w:ascii="Univers" w:eastAsia="Open Sans" w:hAnsi="Univers" w:cs="Open Sans"/>
          <w:sz w:val="20"/>
          <w:szCs w:val="20"/>
        </w:rPr>
      </w:pPr>
    </w:p>
    <w:p w14:paraId="41847D9E"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Attendance and documented engagement are intended to count toward CPD obligations once the CPD framework is in force, with select sessions later made available through the CPD Learning Portal once established. The Society is candid, however, that recorded content will not reproduce the value of being challenged in real time by someone with the standing to challenge convincingly; members who can attend in person will be encouraged to do so rather than defer to the archive.</w:t>
      </w:r>
    </w:p>
    <w:p w14:paraId="41847D9F" w14:textId="77777777" w:rsidR="009435C0" w:rsidRPr="00A666F0" w:rsidRDefault="009435C0" w:rsidP="00F57991">
      <w:pPr>
        <w:rPr>
          <w:rFonts w:ascii="Univers" w:eastAsia="Open Sans" w:hAnsi="Univers" w:cs="Open Sans"/>
          <w:sz w:val="20"/>
          <w:szCs w:val="20"/>
        </w:rPr>
      </w:pPr>
    </w:p>
    <w:p w14:paraId="41847DA0"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Location, theme and registration windows will be confirmed well ahead of each cycle and published through the Calendar of Events, once operational, with members in good standing given priority registration ahead of general access — consistent with the Society's broader position that standing should carry practical, not merely symbolic, privilege.</w:t>
      </w:r>
    </w:p>
    <w:p w14:paraId="41847DA1" w14:textId="77777777" w:rsidR="009435C0" w:rsidRPr="00A666F0" w:rsidRDefault="009435C0" w:rsidP="00F57991">
      <w:pPr>
        <w:rPr>
          <w:rFonts w:ascii="Univers" w:eastAsia="Open Sans" w:hAnsi="Univers" w:cs="Open Sans"/>
          <w:sz w:val="20"/>
          <w:szCs w:val="20"/>
        </w:rPr>
      </w:pPr>
    </w:p>
    <w:p w14:paraId="41847DA2"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Distinguished Speaker Series</w:t>
      </w:r>
    </w:p>
    <w:p w14:paraId="41847DA3" w14:textId="77777777" w:rsidR="009435C0" w:rsidRPr="00A666F0" w:rsidRDefault="009435C0" w:rsidP="00F57991">
      <w:pPr>
        <w:rPr>
          <w:rFonts w:ascii="Univers" w:eastAsia="Open Sans" w:hAnsi="Univers" w:cs="Open Sans"/>
          <w:sz w:val="20"/>
          <w:szCs w:val="20"/>
        </w:rPr>
      </w:pPr>
    </w:p>
    <w:p w14:paraId="41847DA4"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 Distinguished Speaker Series is being built on a simple premise: the people worth hearing from are not always the people most visible in financial media, and the Society's selection process is designed to reflect that distinction deliberately. Speakers will be chosen for demonstrated influence on the discipline itself — through original research, regulatory stewardship, or sustained institutional judgement — rather than public recognition, with the intention of featuring figures largely unknown outside specialist circles yet indispensable within them.</w:t>
      </w:r>
    </w:p>
    <w:p w14:paraId="41847DA5" w14:textId="77777777" w:rsidR="009435C0" w:rsidRPr="00A666F0" w:rsidRDefault="009435C0" w:rsidP="00F57991">
      <w:pPr>
        <w:rPr>
          <w:rFonts w:ascii="Univers" w:eastAsia="Open Sans" w:hAnsi="Univers" w:cs="Open Sans"/>
          <w:sz w:val="20"/>
          <w:szCs w:val="20"/>
        </w:rPr>
      </w:pPr>
    </w:p>
    <w:p w14:paraId="41847DA6"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 format is being built to resist comfortable consensus. Members will be expected to arrive with prepared, substantive questions, and speakers will be selected in part for a demonstrated willingness to be pressed on their reasoning rather than to restate settled positions. The sessions intended to leave the strongest impression are, by design, the ones where the speaker is made to work for their conclusions.</w:t>
      </w:r>
    </w:p>
    <w:p w14:paraId="41847DA7" w14:textId="77777777" w:rsidR="009435C0" w:rsidRPr="00A666F0" w:rsidRDefault="009435C0" w:rsidP="00F57991">
      <w:pPr>
        <w:rPr>
          <w:rFonts w:ascii="Univers" w:eastAsia="Open Sans" w:hAnsi="Univers" w:cs="Open Sans"/>
          <w:sz w:val="20"/>
          <w:szCs w:val="20"/>
        </w:rPr>
      </w:pPr>
    </w:p>
    <w:p w14:paraId="41847DA8"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lastRenderedPageBreak/>
        <w:t xml:space="preserve">Subject matter is intended to range widely but be chosen for consequence: the practical transmission of monetary policy into valuation assumptions, the shifting regulatory posture toward research independence, structural change in market microstructure, and the governance failures that periodically force a rewrite of how analysts assess disclosure. The Society does not intend to select speakers to reinforce prevailing </w:t>
      </w:r>
      <w:proofErr w:type="gramStart"/>
      <w:r w:rsidRPr="00A666F0">
        <w:rPr>
          <w:rFonts w:ascii="Univers" w:eastAsia="Open Sans" w:hAnsi="Univers" w:cs="Open Sans"/>
          <w:sz w:val="20"/>
          <w:szCs w:val="20"/>
        </w:rPr>
        <w:t>sentiment, and</w:t>
      </w:r>
      <w:proofErr w:type="gramEnd"/>
      <w:r w:rsidRPr="00A666F0">
        <w:rPr>
          <w:rFonts w:ascii="Univers" w:eastAsia="Open Sans" w:hAnsi="Univers" w:cs="Open Sans"/>
          <w:sz w:val="20"/>
          <w:szCs w:val="20"/>
        </w:rPr>
        <w:t xml:space="preserve"> expects some of its better-attended sessions to deliberately feature a contrarian view, on the basis that members are better served by hearing a well-argued position they disagree with than a comfortable one they already hold.</w:t>
      </w:r>
    </w:p>
    <w:p w14:paraId="41847DA9" w14:textId="77777777" w:rsidR="009435C0" w:rsidRPr="00A666F0" w:rsidRDefault="009435C0" w:rsidP="00F57991">
      <w:pPr>
        <w:rPr>
          <w:rFonts w:ascii="Univers" w:eastAsia="Open Sans" w:hAnsi="Univers" w:cs="Open Sans"/>
          <w:sz w:val="20"/>
          <w:szCs w:val="20"/>
        </w:rPr>
      </w:pPr>
    </w:p>
    <w:p w14:paraId="41847DAA"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Delivery is intended to span both in-person sessions hosted through regional chapters, once established, and virtual formats, ensuring the Society's international membership is not structurally disadvantaged by geography. Recordings will be held in the Society Library, once established, for later reference or CPD documentation, though live attendance is intended to carry greater developmental weighting given the interactive element a recording cannot preserve.</w:t>
      </w:r>
    </w:p>
    <w:p w14:paraId="41847DAB" w14:textId="77777777" w:rsidR="009435C0" w:rsidRPr="00A666F0" w:rsidRDefault="009435C0" w:rsidP="00F57991">
      <w:pPr>
        <w:rPr>
          <w:rFonts w:ascii="Univers" w:eastAsia="Open Sans" w:hAnsi="Univers" w:cs="Open Sans"/>
          <w:sz w:val="20"/>
          <w:szCs w:val="20"/>
        </w:rPr>
      </w:pPr>
    </w:p>
    <w:p w14:paraId="41847DAC"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Session announcements will be issued through the Calendar of Events, once operational. Given that capacity is intended to be constrained by design — smaller audiences make genuine engagement possible — members with a direct professional interest in a given topic will be advised to register promptly rather than assume availability.</w:t>
      </w:r>
    </w:p>
    <w:p w14:paraId="41847DAD" w14:textId="77777777" w:rsidR="009435C0" w:rsidRPr="00A666F0" w:rsidRDefault="009435C0" w:rsidP="00F57991">
      <w:pPr>
        <w:rPr>
          <w:rFonts w:ascii="Univers" w:eastAsia="Open Sans" w:hAnsi="Univers" w:cs="Open Sans"/>
          <w:sz w:val="20"/>
          <w:szCs w:val="20"/>
        </w:rPr>
      </w:pPr>
    </w:p>
    <w:p w14:paraId="41847DAE"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Regional Symposia &amp; Roundtables</w:t>
      </w:r>
    </w:p>
    <w:p w14:paraId="41847DAF" w14:textId="77777777" w:rsidR="009435C0" w:rsidRPr="00A666F0" w:rsidRDefault="009435C0" w:rsidP="00F57991">
      <w:pPr>
        <w:rPr>
          <w:rFonts w:ascii="Univers" w:eastAsia="Open Sans" w:hAnsi="Univers" w:cs="Open Sans"/>
          <w:sz w:val="20"/>
          <w:szCs w:val="20"/>
        </w:rPr>
      </w:pPr>
    </w:p>
    <w:p w14:paraId="41847DB0"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Global consistency in standards does not require ignoring the fact that equity analysis is practised differently depending on where it is conducted, and Regional Symposia &amp; Roundtables are being developed to address exactly that reality. Where the Annual Global Equity Conference is built around themes of universal relevance, these regional formats are intended to be deliberately local — grounded in the disclosure regimes, sector concentrations and supervisory environments specific to a given chapter's market, once chapters are established.</w:t>
      </w:r>
    </w:p>
    <w:p w14:paraId="41847DB1" w14:textId="77777777" w:rsidR="009435C0" w:rsidRPr="00A666F0" w:rsidRDefault="009435C0" w:rsidP="00F57991">
      <w:pPr>
        <w:rPr>
          <w:rFonts w:ascii="Univers" w:eastAsia="Open Sans" w:hAnsi="Univers" w:cs="Open Sans"/>
          <w:sz w:val="20"/>
          <w:szCs w:val="20"/>
        </w:rPr>
      </w:pPr>
    </w:p>
    <w:p w14:paraId="41847DB2"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Symposia, to be organised by individual chapters in coordination with the Leadership Council, are intended to address matters such as jurisdiction-specific regulatory change, sector exposures unique to a regional market, or the cross-border implications of a shift in capital flow patterns. Roundtables are intended to operate at smaller scale and greater depth: a limited group of senior practitioners examining one defined question closely enough to produce findings the Society can draw on more broadly, feeding where relevant into advisory committee deliberations.</w:t>
      </w:r>
    </w:p>
    <w:p w14:paraId="41847DB3" w14:textId="77777777" w:rsidR="009435C0" w:rsidRPr="00A666F0" w:rsidRDefault="009435C0" w:rsidP="00F57991">
      <w:pPr>
        <w:rPr>
          <w:rFonts w:ascii="Univers" w:eastAsia="Open Sans" w:hAnsi="Univers" w:cs="Open Sans"/>
          <w:sz w:val="20"/>
          <w:szCs w:val="20"/>
        </w:rPr>
      </w:pPr>
    </w:p>
    <w:p w14:paraId="41847DB4"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Neither format is being designed for passive attendance. Participants will be expected to review distributed background material in advance and to contribute substantively during the session, in keeping with the Society's general view that professional development ought to require something of the participant beyond their presence.</w:t>
      </w:r>
    </w:p>
    <w:p w14:paraId="41847DB5" w14:textId="77777777" w:rsidR="009435C0" w:rsidRPr="00A666F0" w:rsidRDefault="009435C0" w:rsidP="00F57991">
      <w:pPr>
        <w:rPr>
          <w:rFonts w:ascii="Univers" w:eastAsia="Open Sans" w:hAnsi="Univers" w:cs="Open Sans"/>
          <w:sz w:val="20"/>
          <w:szCs w:val="20"/>
        </w:rPr>
      </w:pPr>
    </w:p>
    <w:p w14:paraId="41847DB6"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Once chapters are established, chapter heads will determine cadence and subject matter based on regional relevance, though the Leadership Council will retain oversight to ensure content does not drift toward a position that is locally convenient but analytically unsound — a risk the Society intends to treat seriously given how easily regional consensus can substitute for rigour. Notable findings from roundtables will be circulated across chapters over time, allowing an insight developed under one regulatory regime to inform the Society's understanding of a comparable dynamic elsewhere.</w:t>
      </w:r>
    </w:p>
    <w:p w14:paraId="41847DB7" w14:textId="77777777" w:rsidR="009435C0" w:rsidRPr="00A666F0" w:rsidRDefault="009435C0" w:rsidP="00F57991">
      <w:pPr>
        <w:rPr>
          <w:rFonts w:ascii="Univers" w:eastAsia="Open Sans" w:hAnsi="Univers" w:cs="Open Sans"/>
          <w:sz w:val="20"/>
          <w:szCs w:val="20"/>
        </w:rPr>
      </w:pPr>
    </w:p>
    <w:p w14:paraId="41847DB8"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Scheduling for regional symposia and roundtables will be published by the hosting chapter and consolidated within the Calendar of Events, once these are operational. Attendance is intended to satisfy CPD requirements, with supporting documentation issued directly by the chapter responsible for the session.</w:t>
      </w:r>
    </w:p>
    <w:p w14:paraId="41847DB9" w14:textId="77777777" w:rsidR="009435C0" w:rsidRPr="00A666F0" w:rsidRDefault="009435C0" w:rsidP="00F57991">
      <w:pPr>
        <w:rPr>
          <w:rFonts w:ascii="Univers" w:eastAsia="Open Sans" w:hAnsi="Univers" w:cs="Open Sans"/>
          <w:sz w:val="20"/>
          <w:szCs w:val="20"/>
        </w:rPr>
      </w:pPr>
    </w:p>
    <w:p w14:paraId="41847DBA"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Webinars &amp; Virtual Briefings</w:t>
      </w:r>
    </w:p>
    <w:p w14:paraId="41847DBB" w14:textId="77777777" w:rsidR="009435C0" w:rsidRPr="00A666F0" w:rsidRDefault="009435C0" w:rsidP="00F57991">
      <w:pPr>
        <w:rPr>
          <w:rFonts w:ascii="Univers" w:eastAsia="Open Sans" w:hAnsi="Univers" w:cs="Open Sans"/>
          <w:sz w:val="20"/>
          <w:szCs w:val="20"/>
        </w:rPr>
      </w:pPr>
    </w:p>
    <w:p w14:paraId="41847DBC"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Some developments in equity markets do not wait politely for the next scheduled conference, and Webinars &amp; Virtual Briefings are being developed to address exactly that category of urgency — a regulatory change, an accounting standard shift, a sector-specific event with implications reaching beyond one jurisdiction. Rather than let members absorb such developments informally or inconsistently, the Society intends to convene a focused virtual session promptly, at meaningfully lower cost and lead time than an in-person equivalent would allow.</w:t>
      </w:r>
    </w:p>
    <w:p w14:paraId="41847DBD" w14:textId="77777777" w:rsidR="009435C0" w:rsidRPr="00A666F0" w:rsidRDefault="009435C0" w:rsidP="00F57991">
      <w:pPr>
        <w:rPr>
          <w:rFonts w:ascii="Univers" w:eastAsia="Open Sans" w:hAnsi="Univers" w:cs="Open Sans"/>
          <w:sz w:val="20"/>
          <w:szCs w:val="20"/>
        </w:rPr>
      </w:pPr>
    </w:p>
    <w:p w14:paraId="41847DBE"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These briefings are intended to be led by Global Advisory Committee members, senior Fellows, or external specialists whose relevance to the matter is direct rather than incidental. Sessions are being designed to remain narrow — addressing one defined question rather than expanding into general market commentary — on the view that a briefing which tries to cover everything ends up clarifying nothing.</w:t>
      </w:r>
    </w:p>
    <w:p w14:paraId="41847DBF" w14:textId="77777777" w:rsidR="009435C0" w:rsidRPr="00A666F0" w:rsidRDefault="009435C0" w:rsidP="00F57991">
      <w:pPr>
        <w:rPr>
          <w:rFonts w:ascii="Univers" w:eastAsia="Open Sans" w:hAnsi="Univers" w:cs="Open Sans"/>
          <w:sz w:val="20"/>
          <w:szCs w:val="20"/>
        </w:rPr>
      </w:pPr>
    </w:p>
    <w:p w14:paraId="41847DC0"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 virtual format is intended to allow the Society to reach its full international membership without favouring any region by default; scheduling will rotate, or sessions will be recorded, to ensure members across time zones retain reasonable, equitable access. Members will be able to submit questions ahead of a session and, where the format allows, engage directly during it — the Society intends to treat these briefings as professional exchange, not one-way broadcast, consistent with how it approaches development activity generally.</w:t>
      </w:r>
    </w:p>
    <w:p w14:paraId="41847DC1" w14:textId="77777777" w:rsidR="009435C0" w:rsidRPr="00A666F0" w:rsidRDefault="009435C0" w:rsidP="00F57991">
      <w:pPr>
        <w:rPr>
          <w:rFonts w:ascii="Univers" w:eastAsia="Open Sans" w:hAnsi="Univers" w:cs="Open Sans"/>
          <w:sz w:val="20"/>
          <w:szCs w:val="20"/>
        </w:rPr>
      </w:pPr>
    </w:p>
    <w:p w14:paraId="41847DC2"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Recordings will be archived in the CPD Learning Portal, once developed, allowing members to claim appropriate credit and revisit material relevant to their specific practice area later. Notification of upcoming briefings will be distributed through chapters and the Calendar of Events, with members whose registered specialisation aligns with the subject matter typically notified ahead of the broader membership.</w:t>
      </w:r>
    </w:p>
    <w:p w14:paraId="41847DC3" w14:textId="77777777" w:rsidR="009435C0" w:rsidRPr="00A666F0" w:rsidRDefault="009435C0" w:rsidP="00F57991">
      <w:pPr>
        <w:rPr>
          <w:rFonts w:ascii="Univers" w:eastAsia="Open Sans" w:hAnsi="Univers" w:cs="Open Sans"/>
          <w:sz w:val="20"/>
          <w:szCs w:val="20"/>
        </w:rPr>
      </w:pPr>
    </w:p>
    <w:p w14:paraId="41847DC4"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Calendar of Events</w:t>
      </w:r>
    </w:p>
    <w:p w14:paraId="41847DC5" w14:textId="77777777" w:rsidR="009435C0" w:rsidRPr="00A666F0" w:rsidRDefault="009435C0" w:rsidP="00F57991">
      <w:pPr>
        <w:rPr>
          <w:rFonts w:ascii="Univers" w:eastAsia="Open Sans" w:hAnsi="Univers" w:cs="Open Sans"/>
          <w:sz w:val="20"/>
          <w:szCs w:val="20"/>
        </w:rPr>
      </w:pPr>
    </w:p>
    <w:p w14:paraId="41847DC6" w14:textId="1B2396D4"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 xml:space="preserve">The Calendar of Events </w:t>
      </w:r>
      <w:r w:rsidR="00CB6705">
        <w:rPr>
          <w:rFonts w:ascii="Univers" w:eastAsia="Open Sans" w:hAnsi="Univers" w:cs="Open Sans"/>
          <w:sz w:val="20"/>
          <w:szCs w:val="20"/>
        </w:rPr>
        <w:t>will be</w:t>
      </w:r>
      <w:r w:rsidRPr="00A666F0">
        <w:rPr>
          <w:rFonts w:ascii="Univers" w:eastAsia="Open Sans" w:hAnsi="Univers" w:cs="Open Sans"/>
          <w:sz w:val="20"/>
          <w:szCs w:val="20"/>
        </w:rPr>
        <w:t xml:space="preserve"> the single point of reference through which the Society's global activity will become navigable rather than merely extensive. Across conferences, speaker sessions, regional symposia, roundtables, webinars and CEA examination windows, the calendar is intended to consolidate what would otherwise be a fragmented set of chapter-level announcements into one coherent, authoritative schedule.</w:t>
      </w:r>
    </w:p>
    <w:p w14:paraId="41847DC7" w14:textId="77777777" w:rsidR="009435C0" w:rsidRPr="00A666F0" w:rsidRDefault="009435C0" w:rsidP="00F57991">
      <w:pPr>
        <w:rPr>
          <w:rFonts w:ascii="Univers" w:eastAsia="Open Sans" w:hAnsi="Univers" w:cs="Open Sans"/>
          <w:sz w:val="20"/>
          <w:szCs w:val="20"/>
        </w:rPr>
      </w:pPr>
    </w:p>
    <w:p w14:paraId="41847DC8"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Each entry is intended to carry the detail a member actually needs to decide whether to engage — format, eligibility, associated CPD weighting, and registration deadlines — rather than requiring a member to chase down confirmation separately for every event of interest. Once the Society's regional structure is established, the calendar is intended to allow filtering by chapter, event type and area of professional relevance, so that a practitioner is not required to sort personally relevant activity from material with no bearing on their market.</w:t>
      </w:r>
    </w:p>
    <w:p w14:paraId="41847DC9" w14:textId="77777777" w:rsidR="009435C0" w:rsidRPr="00A666F0" w:rsidRDefault="009435C0" w:rsidP="00F57991">
      <w:pPr>
        <w:rPr>
          <w:rFonts w:ascii="Univers" w:eastAsia="Open Sans" w:hAnsi="Univers" w:cs="Open Sans"/>
          <w:sz w:val="20"/>
          <w:szCs w:val="20"/>
        </w:rPr>
      </w:pPr>
    </w:p>
    <w:p w14:paraId="41847DCA"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Where demand for a given session is expected to outstrip capacity — a likely circumstance for roundtables and select speaker engagements — the calendar is intended to reflect registration status transparently, rather than allowing scarcity to be discovered only after a member has applied. This transparency is deliberate: the Society regards ambiguous or overstated availability as inconsistent with the standard of clarity it expects from its members' own research disclosures.</w:t>
      </w:r>
    </w:p>
    <w:p w14:paraId="41847DCB" w14:textId="77777777" w:rsidR="009435C0" w:rsidRPr="00A666F0" w:rsidRDefault="009435C0" w:rsidP="00F57991">
      <w:pPr>
        <w:rPr>
          <w:rFonts w:ascii="Univers" w:eastAsia="Open Sans" w:hAnsi="Univers" w:cs="Open Sans"/>
          <w:sz w:val="20"/>
          <w:szCs w:val="20"/>
        </w:rPr>
      </w:pPr>
    </w:p>
    <w:p w14:paraId="41847DCC"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 xml:space="preserve">Content will be maintained centrally but populated in direct coordination with regional chapters and the committees responsible for each event category, once these exist, keeping presentation consistent regardless of where a given event originates. Members will receive </w:t>
      </w:r>
      <w:r w:rsidRPr="00A666F0">
        <w:rPr>
          <w:rFonts w:ascii="Univers" w:eastAsia="Open Sans" w:hAnsi="Univers" w:cs="Open Sans"/>
          <w:sz w:val="20"/>
          <w:szCs w:val="20"/>
        </w:rPr>
        <w:lastRenderedPageBreak/>
        <w:t>notification of additions and changes relevant to their chapter and stated areas of interest, rather than an undifferentiated stream of global updates.</w:t>
      </w:r>
    </w:p>
    <w:p w14:paraId="41847DCD" w14:textId="77777777" w:rsidR="009435C0" w:rsidRPr="00A666F0" w:rsidRDefault="009435C0" w:rsidP="00F57991">
      <w:pPr>
        <w:rPr>
          <w:rFonts w:ascii="Univers" w:eastAsia="Open Sans" w:hAnsi="Univers" w:cs="Open Sans"/>
          <w:sz w:val="20"/>
          <w:szCs w:val="20"/>
        </w:rPr>
      </w:pPr>
    </w:p>
    <w:p w14:paraId="41847DCE"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For a prospective member, the calendar, once developed, is intended to offer a concrete sense of the institution's operating rhythm. For a future member, it is intended to become the practical mechanism by which CPD planning and ongoing professional engagement are organised across a demanding annual cycle spanning multiple jurisdictions.</w:t>
      </w:r>
    </w:p>
    <w:p w14:paraId="41847DCF" w14:textId="77777777" w:rsidR="009435C0" w:rsidRPr="00A666F0" w:rsidRDefault="009435C0" w:rsidP="00F57991">
      <w:pPr>
        <w:rPr>
          <w:rFonts w:ascii="Univers" w:eastAsia="Open Sans" w:hAnsi="Univers" w:cs="Open Sans"/>
          <w:sz w:val="20"/>
          <w:szCs w:val="20"/>
        </w:rPr>
      </w:pPr>
    </w:p>
    <w:p w14:paraId="41847DD0" w14:textId="77777777" w:rsidR="009435C0" w:rsidRPr="00A666F0" w:rsidRDefault="00000000" w:rsidP="00F57991">
      <w:pPr>
        <w:rPr>
          <w:rFonts w:ascii="Univers" w:eastAsia="Open Sans" w:hAnsi="Univers" w:cs="Open Sans"/>
          <w:b/>
          <w:bCs/>
          <w:sz w:val="24"/>
          <w:szCs w:val="24"/>
        </w:rPr>
      </w:pPr>
      <w:r w:rsidRPr="00A666F0">
        <w:rPr>
          <w:rFonts w:ascii="Univers" w:eastAsia="Open Sans" w:hAnsi="Univers" w:cs="Open Sans"/>
          <w:b/>
          <w:bCs/>
          <w:sz w:val="24"/>
          <w:szCs w:val="24"/>
        </w:rPr>
        <w:t>Sponsorship &amp; Exhibition Opportunities</w:t>
      </w:r>
    </w:p>
    <w:p w14:paraId="41847DD1" w14:textId="77777777" w:rsidR="009435C0" w:rsidRPr="00A666F0" w:rsidRDefault="009435C0" w:rsidP="00F57991">
      <w:pPr>
        <w:rPr>
          <w:rFonts w:ascii="Univers" w:eastAsia="Open Sans" w:hAnsi="Univers" w:cs="Open Sans"/>
          <w:sz w:val="20"/>
          <w:szCs w:val="20"/>
        </w:rPr>
      </w:pPr>
    </w:p>
    <w:p w14:paraId="41847DD2"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Sponsorship of a Society event is intended to confer association with the profession's global standard-setting body, and that association will not be extended indiscriminately. The Society intends to apply to prospective sponsors the same selectivity it applies to its own institutional partnerships, on the straightforward reasoning that a reputational association cuts both ways.</w:t>
      </w:r>
    </w:p>
    <w:p w14:paraId="41847DD3" w14:textId="77777777" w:rsidR="009435C0" w:rsidRPr="00A666F0" w:rsidRDefault="009435C0" w:rsidP="00F57991">
      <w:pPr>
        <w:rPr>
          <w:rFonts w:ascii="Univers" w:eastAsia="Open Sans" w:hAnsi="Univers" w:cs="Open Sans"/>
          <w:sz w:val="20"/>
          <w:szCs w:val="20"/>
        </w:rPr>
      </w:pPr>
    </w:p>
    <w:p w14:paraId="41847DD4"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Opportunities are expected to be concentrated around the Annual Global Equity Conference and select regional symposia, once these are established, where sponsoring organisations will reach an audience — senior analysts, institutional investors, regulators — attending specifically for analytical substance rather than commercial exposure. Where exhibition space is made available, it is intended to be reserved for organisations whose offering bears direct relevance to the practice of equity analysis: data and research platforms, credentialing-adjacent technology, and institutional service providers, among a narrow set of others.</w:t>
      </w:r>
    </w:p>
    <w:p w14:paraId="41847DD5" w14:textId="77777777" w:rsidR="009435C0" w:rsidRPr="00A666F0" w:rsidRDefault="009435C0" w:rsidP="00F57991">
      <w:pPr>
        <w:rPr>
          <w:rFonts w:ascii="Univers" w:eastAsia="Open Sans" w:hAnsi="Univers" w:cs="Open Sans"/>
          <w:sz w:val="20"/>
          <w:szCs w:val="20"/>
        </w:rPr>
      </w:pPr>
    </w:p>
    <w:p w14:paraId="41847DD6"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The separation between sponsorship and content is intended to be treated as absolute. No sponsorship tier, regardless of value, will extend to influence over programme content, speaker selection or the analytical positions presented at Society events. Organisations exploring sponsorship on the assumption that funding buys editorial access should understand, plainly, that no such arrangement is intended to exist at any level of participation.</w:t>
      </w:r>
    </w:p>
    <w:p w14:paraId="41847DD7" w14:textId="77777777" w:rsidR="009435C0" w:rsidRPr="00A666F0" w:rsidRDefault="009435C0" w:rsidP="00F57991">
      <w:pPr>
        <w:rPr>
          <w:rFonts w:ascii="Univers" w:eastAsia="Open Sans" w:hAnsi="Univers" w:cs="Open Sans"/>
          <w:sz w:val="20"/>
          <w:szCs w:val="20"/>
        </w:rPr>
      </w:pPr>
    </w:p>
    <w:p w14:paraId="41847DD8"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Tiers are intended to vary by event and to distinguish themselves through degree of visibility, exhibition allocation, and structured introductions to attending institutions — never through proximity to the professional discourse itself. Every prospective sponsor will be reviewed against the Society's ethical standards before an arrangement is confirmed, and the Society intends to reserve the right to decline sponsorship from any organisation whose conduct or reputation falls short of that standard, irrespective of commercial terms offered.</w:t>
      </w:r>
    </w:p>
    <w:p w14:paraId="41847DD9" w14:textId="77777777" w:rsidR="009435C0" w:rsidRPr="00A666F0" w:rsidRDefault="009435C0" w:rsidP="00F57991">
      <w:pPr>
        <w:rPr>
          <w:rFonts w:ascii="Univers" w:eastAsia="Open Sans" w:hAnsi="Univers" w:cs="Open Sans"/>
          <w:sz w:val="20"/>
          <w:szCs w:val="20"/>
        </w:rPr>
      </w:pPr>
    </w:p>
    <w:p w14:paraId="41847DDA" w14:textId="77777777" w:rsidR="009435C0" w:rsidRPr="00A666F0" w:rsidRDefault="00000000" w:rsidP="00F57991">
      <w:pPr>
        <w:rPr>
          <w:rFonts w:ascii="Univers" w:eastAsia="Open Sans" w:hAnsi="Univers" w:cs="Open Sans"/>
          <w:sz w:val="20"/>
          <w:szCs w:val="20"/>
        </w:rPr>
      </w:pPr>
      <w:r w:rsidRPr="00A666F0">
        <w:rPr>
          <w:rFonts w:ascii="Univers" w:eastAsia="Open Sans" w:hAnsi="Univers" w:cs="Open Sans"/>
          <w:sz w:val="20"/>
          <w:szCs w:val="20"/>
        </w:rPr>
        <w:t>Institutions interested in future sponsorship or exhibition opportunities are invited to register their interest with the Society ahead of the first conference cycle. Allocation is not intended to be granted on a first-come basis; it will be assessed for suitability, consistent with how the Society intends to treat access more generally.</w:t>
      </w:r>
    </w:p>
    <w:p w14:paraId="41847DDB" w14:textId="77777777" w:rsidR="009435C0" w:rsidRPr="00A666F0" w:rsidRDefault="009435C0">
      <w:pPr>
        <w:jc w:val="both"/>
        <w:rPr>
          <w:rFonts w:ascii="Univers" w:eastAsia="Open Sans" w:hAnsi="Univers" w:cs="Open Sans"/>
          <w:sz w:val="20"/>
          <w:szCs w:val="20"/>
        </w:rPr>
      </w:pPr>
    </w:p>
    <w:sectPr w:rsidR="009435C0" w:rsidRPr="00A666F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5A80A54-025C-426A-9B65-4D1B9A8FBCA1}"/>
    <w:embedBold r:id="rId2" w:fontKey="{DE94E692-C1EE-4C4E-BCE0-E3401E767986}"/>
    <w:embedItalic r:id="rId3" w:fontKey="{5EA1AD0B-0171-4452-A171-44FAFCC1E9E3}"/>
  </w:font>
  <w:font w:name="Play">
    <w:charset w:val="00"/>
    <w:family w:val="auto"/>
    <w:pitch w:val="default"/>
    <w:embedRegular r:id="rId4" w:fontKey="{BA35728F-0ABA-4089-AEBC-801522E67416}"/>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682761B5-272E-4343-9D32-371E8082405A}"/>
    <w:embedBold r:id="rId6" w:fontKey="{D9B2CB41-5C44-4BFD-A2A1-B934FE6C78F6}"/>
  </w:font>
  <w:font w:name="Open Sans">
    <w:charset w:val="00"/>
    <w:family w:val="swiss"/>
    <w:pitch w:val="variable"/>
    <w:sig w:usb0="E00002EF" w:usb1="4000205B" w:usb2="00000028" w:usb3="00000000" w:csb0="0000019F" w:csb1="00000000"/>
    <w:embedRegular r:id="rId7" w:fontKey="{3AEEF280-ADEA-4CAD-95DB-A95A3C51C14A}"/>
    <w:embedBold r:id="rId8" w:fontKey="{BA1344A5-68CD-4BE6-B176-E797E54AD780}"/>
  </w:font>
  <w:font w:name="Calibri">
    <w:panose1 w:val="020F0502020204030204"/>
    <w:charset w:val="00"/>
    <w:family w:val="swiss"/>
    <w:pitch w:val="variable"/>
    <w:sig w:usb0="E4002EFF" w:usb1="C200247B" w:usb2="00000009" w:usb3="00000000" w:csb0="000001FF" w:csb1="00000000"/>
    <w:embedRegular r:id="rId9" w:fontKey="{A456974A-FECA-493F-A53B-1791EEC08109}"/>
  </w:font>
  <w:font w:name="Cambria">
    <w:panose1 w:val="02040503050406030204"/>
    <w:charset w:val="00"/>
    <w:family w:val="roman"/>
    <w:pitch w:val="variable"/>
    <w:sig w:usb0="E00006FF" w:usb1="420024FF" w:usb2="02000000" w:usb3="00000000" w:csb0="0000019F" w:csb1="00000000"/>
    <w:embedRegular r:id="rId10" w:fontKey="{986A7F2D-1787-4F27-8486-817C5A1B20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5C0"/>
    <w:rsid w:val="004B5F72"/>
    <w:rsid w:val="008905EF"/>
    <w:rsid w:val="009435C0"/>
    <w:rsid w:val="00A666F0"/>
    <w:rsid w:val="00CB6705"/>
    <w:rsid w:val="00D4330D"/>
    <w:rsid w:val="00F57991"/>
    <w:rsid w:val="00FF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7D91"/>
  <w15:docId w15:val="{0C06E824-5D0F-4FF2-9A59-419F864F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J5qU+BAkiXoDte6NB5J1Fv3iuQ==">CgMxLjA4AHIhMURmMHpLYmMwVm5jcEU3clhKcHJGNkdtd0ZiYmU4b1RS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1937</Words>
  <Characters>11935</Characters>
  <Application>Microsoft Office Word</Application>
  <DocSecurity>0</DocSecurity>
  <Lines>205</Lines>
  <Paragraphs>42</Paragraphs>
  <ScaleCrop>false</ScaleCrop>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6</cp:revision>
  <dcterms:created xsi:type="dcterms:W3CDTF">2026-07-20T07:29:00Z</dcterms:created>
  <dcterms:modified xsi:type="dcterms:W3CDTF">2026-07-20T15:25:00Z</dcterms:modified>
</cp:coreProperties>
</file>