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ACC0B" w14:textId="77777777" w:rsidR="00E10BAB" w:rsidRPr="00E56738" w:rsidRDefault="00000000">
      <w:pPr>
        <w:jc w:val="center"/>
        <w:rPr>
          <w:rFonts w:ascii="Univers" w:hAnsi="Univers"/>
          <w:b/>
          <w:bCs/>
          <w:sz w:val="24"/>
          <w:szCs w:val="24"/>
        </w:rPr>
      </w:pPr>
      <w:r w:rsidRPr="00E56738">
        <w:rPr>
          <w:rFonts w:ascii="Univers" w:hAnsi="Univers"/>
          <w:b/>
          <w:bCs/>
          <w:sz w:val="24"/>
          <w:szCs w:val="24"/>
        </w:rPr>
        <w:t>INTERNATIONAL SOCIETY OF EQUITY ANALYSTS</w:t>
      </w:r>
    </w:p>
    <w:p w14:paraId="627ACC0C" w14:textId="77777777" w:rsidR="00E10BAB" w:rsidRPr="00E56738" w:rsidRDefault="00000000">
      <w:pPr>
        <w:jc w:val="center"/>
        <w:rPr>
          <w:rFonts w:ascii="Univers" w:hAnsi="Univers"/>
          <w:b/>
          <w:bCs/>
          <w:sz w:val="24"/>
          <w:szCs w:val="24"/>
        </w:rPr>
      </w:pPr>
      <w:r w:rsidRPr="00E56738">
        <w:rPr>
          <w:rFonts w:ascii="Univers" w:hAnsi="Univers"/>
          <w:b/>
          <w:bCs/>
          <w:sz w:val="24"/>
          <w:szCs w:val="24"/>
        </w:rPr>
        <w:t>WEBSITE CONTENT</w:t>
      </w:r>
    </w:p>
    <w:p w14:paraId="627ACC0D" w14:textId="77777777" w:rsidR="00E10BAB" w:rsidRPr="00E56738" w:rsidRDefault="00E10BAB">
      <w:pPr>
        <w:jc w:val="center"/>
        <w:rPr>
          <w:rFonts w:ascii="Univers" w:hAnsi="Univers"/>
          <w:b/>
          <w:bCs/>
        </w:rPr>
      </w:pPr>
    </w:p>
    <w:p w14:paraId="627ACC0E" w14:textId="77777777" w:rsidR="00E10BAB" w:rsidRPr="00E56738" w:rsidRDefault="00000000">
      <w:pPr>
        <w:jc w:val="center"/>
        <w:rPr>
          <w:rFonts w:ascii="Univers" w:eastAsia="Open Sans" w:hAnsi="Univers" w:cs="Open Sans"/>
          <w:sz w:val="20"/>
          <w:szCs w:val="20"/>
        </w:rPr>
      </w:pPr>
      <w:r w:rsidRPr="00E56738">
        <w:rPr>
          <w:rFonts w:ascii="Univers" w:hAnsi="Univers"/>
          <w:b/>
          <w:bCs/>
          <w:sz w:val="32"/>
          <w:szCs w:val="32"/>
        </w:rPr>
        <w:t>PROFESSIONAL DEVELOPMENT</w:t>
      </w:r>
    </w:p>
    <w:p w14:paraId="627ACC0F" w14:textId="77777777" w:rsidR="00E10BAB" w:rsidRPr="00E56738" w:rsidRDefault="00E10BAB">
      <w:pPr>
        <w:rPr>
          <w:rFonts w:ascii="Univers" w:eastAsia="Open Sans" w:hAnsi="Univers" w:cs="Open Sans"/>
          <w:sz w:val="20"/>
          <w:szCs w:val="20"/>
        </w:rPr>
      </w:pPr>
    </w:p>
    <w:p w14:paraId="627ACC10" w14:textId="77777777" w:rsidR="00E10BAB" w:rsidRPr="00E56738" w:rsidRDefault="00000000">
      <w:pPr>
        <w:rPr>
          <w:rFonts w:ascii="Univers" w:eastAsia="Open Sans" w:hAnsi="Univers" w:cs="Open Sans"/>
          <w:b/>
          <w:bCs/>
          <w:sz w:val="24"/>
          <w:szCs w:val="24"/>
        </w:rPr>
      </w:pPr>
      <w:r w:rsidRPr="00E56738">
        <w:rPr>
          <w:rFonts w:ascii="Univers" w:eastAsia="Open Sans" w:hAnsi="Univers" w:cs="Open Sans"/>
          <w:b/>
          <w:bCs/>
          <w:sz w:val="24"/>
          <w:szCs w:val="24"/>
        </w:rPr>
        <w:t>CPD Learning Portal</w:t>
      </w:r>
    </w:p>
    <w:p w14:paraId="627ACC11" w14:textId="77777777" w:rsidR="00E10BAB" w:rsidRPr="00E56738" w:rsidRDefault="00E10BAB">
      <w:pPr>
        <w:rPr>
          <w:rFonts w:ascii="Univers" w:eastAsia="Open Sans" w:hAnsi="Univers" w:cs="Open Sans"/>
          <w:sz w:val="20"/>
          <w:szCs w:val="20"/>
        </w:rPr>
      </w:pPr>
    </w:p>
    <w:p w14:paraId="627ACC12"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Continuing professional development within the Society is not intended to be treated as a compliance formality to be discharged with minimal effort. A CPD Learning Portal is being developed because analytical competence, once certified, does not remain static — markets evolve, valuation methodologies mature, and regulatory expectations tighten in ways that require deliberate, ongoing engagement rather than passive renewal.</w:t>
      </w:r>
    </w:p>
    <w:p w14:paraId="627ACC13" w14:textId="77777777" w:rsidR="00E10BAB" w:rsidRPr="00E56738" w:rsidRDefault="00E10BAB">
      <w:pPr>
        <w:jc w:val="both"/>
        <w:rPr>
          <w:rFonts w:ascii="Univers" w:eastAsia="Open Sans" w:hAnsi="Univers" w:cs="Open Sans"/>
          <w:sz w:val="20"/>
          <w:szCs w:val="20"/>
        </w:rPr>
      </w:pPr>
    </w:p>
    <w:p w14:paraId="627ACC14"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The Portal is intended to provide members with structured access to accredited content spanning valuation methodology, sector-specific analysis, regulatory developments, ethics case studies and emerging analytical techniques. Content will be developed or reviewed by the Global Advisory Committees, once constituted, to ensure it reflects genuine advancement in practice rather than repackaged material designed to satisfy a points requirement. Members will track progress against the Society's CPD framework, which will specify minimum hours by membership grade and, in some cases, by specialisation.</w:t>
      </w:r>
    </w:p>
    <w:p w14:paraId="627ACC15" w14:textId="77777777" w:rsidR="00E10BAB" w:rsidRPr="00E56738" w:rsidRDefault="00E10BAB">
      <w:pPr>
        <w:jc w:val="both"/>
        <w:rPr>
          <w:rFonts w:ascii="Univers" w:eastAsia="Open Sans" w:hAnsi="Univers" w:cs="Open Sans"/>
          <w:sz w:val="20"/>
          <w:szCs w:val="20"/>
        </w:rPr>
      </w:pPr>
    </w:p>
    <w:p w14:paraId="627ACC16"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The Portal is being designed around depth rather than volume. Rather than accumulating hours through passive video consumption, members will be expected to engage with material that demands genuine analytical thought — case-based ethics modules, technical sessions that require worked application, and assessments that verify comprehension rather than attendance. This reflects the Society's broader position that CPD should strengthen judgement, not merely satisfy a record-keeping obligation.</w:t>
      </w:r>
    </w:p>
    <w:p w14:paraId="627ACC17" w14:textId="77777777" w:rsidR="00E10BAB" w:rsidRPr="00E56738" w:rsidRDefault="00E10BAB">
      <w:pPr>
        <w:jc w:val="both"/>
        <w:rPr>
          <w:rFonts w:ascii="Univers" w:eastAsia="Open Sans" w:hAnsi="Univers" w:cs="Open Sans"/>
          <w:sz w:val="20"/>
          <w:szCs w:val="20"/>
        </w:rPr>
      </w:pPr>
    </w:p>
    <w:p w14:paraId="627ACC18"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Fellows and senior Members will be able to contribute content to the Portal, subject to review by the relevant Advisory Committee, providing a mechanism through which practical expertise can circulate within the membership rather than remaining confined to individual firms. This is also intended to allow the Society to maintain content that reflects contemporary market conditions rather than academic abstraction disconnected from practice.</w:t>
      </w:r>
    </w:p>
    <w:p w14:paraId="627ACC19" w14:textId="77777777" w:rsidR="00E10BAB" w:rsidRPr="00E56738" w:rsidRDefault="00E10BAB">
      <w:pPr>
        <w:jc w:val="both"/>
        <w:rPr>
          <w:rFonts w:ascii="Univers" w:eastAsia="Open Sans" w:hAnsi="Univers" w:cs="Open Sans"/>
          <w:sz w:val="20"/>
          <w:szCs w:val="20"/>
        </w:rPr>
      </w:pPr>
    </w:p>
    <w:p w14:paraId="627ACC1A"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Compliance with CPD requirements will be a condition of maintaining post-nominal rights once the framework is in force. The Portal will maintain an auditable record of completed activity, accessible to members for their own verification and, where required, for regulatory or employer confirmation of ongoing competence.</w:t>
      </w:r>
    </w:p>
    <w:p w14:paraId="627ACC1B" w14:textId="77777777" w:rsidR="00E10BAB" w:rsidRPr="00E56738" w:rsidRDefault="00E10BAB">
      <w:pPr>
        <w:jc w:val="both"/>
        <w:rPr>
          <w:rFonts w:ascii="Univers" w:eastAsia="Open Sans" w:hAnsi="Univers" w:cs="Open Sans"/>
          <w:sz w:val="20"/>
          <w:szCs w:val="20"/>
        </w:rPr>
      </w:pPr>
    </w:p>
    <w:p w14:paraId="627ACC1C"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For future members, the Portal is intended to represent a standing obligation to remain current in a profession where the cost of outdated judgement is borne by investors. For prospective members, the plan for the Portal demonstrates that the Society's expectations are intended to extend well beyond the point of initial credentialing.</w:t>
      </w:r>
    </w:p>
    <w:p w14:paraId="627ACC1D" w14:textId="77777777" w:rsidR="00E10BAB" w:rsidRPr="00E56738" w:rsidRDefault="00E10BAB">
      <w:pPr>
        <w:jc w:val="both"/>
        <w:rPr>
          <w:rFonts w:ascii="Univers" w:eastAsia="Open Sans" w:hAnsi="Univers" w:cs="Open Sans"/>
          <w:sz w:val="20"/>
          <w:szCs w:val="20"/>
        </w:rPr>
      </w:pPr>
    </w:p>
    <w:p w14:paraId="627ACC1E" w14:textId="77777777" w:rsidR="00E10BAB" w:rsidRPr="00E56738" w:rsidRDefault="00000000">
      <w:pPr>
        <w:jc w:val="both"/>
        <w:rPr>
          <w:rFonts w:ascii="Univers" w:eastAsia="Open Sans" w:hAnsi="Univers" w:cs="Open Sans"/>
          <w:b/>
          <w:bCs/>
          <w:sz w:val="24"/>
          <w:szCs w:val="24"/>
        </w:rPr>
      </w:pPr>
      <w:r w:rsidRPr="00E56738">
        <w:rPr>
          <w:rFonts w:ascii="Univers" w:eastAsia="Open Sans" w:hAnsi="Univers" w:cs="Open Sans"/>
          <w:b/>
          <w:bCs/>
          <w:sz w:val="24"/>
          <w:szCs w:val="24"/>
        </w:rPr>
        <w:t>Advanced Masterclasses &amp; Workshops</w:t>
      </w:r>
    </w:p>
    <w:p w14:paraId="627ACC1F" w14:textId="77777777" w:rsidR="00E10BAB" w:rsidRPr="00E56738" w:rsidRDefault="00E10BAB">
      <w:pPr>
        <w:jc w:val="both"/>
        <w:rPr>
          <w:rFonts w:ascii="Univers" w:eastAsia="Open Sans" w:hAnsi="Univers" w:cs="Open Sans"/>
          <w:sz w:val="20"/>
          <w:szCs w:val="20"/>
        </w:rPr>
      </w:pPr>
    </w:p>
    <w:p w14:paraId="627ACC20"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The Society's Advanced Masterclasses and Workshops are being designed for practitioners who have moved beyond foundational competence and require exposure to specialised, high-level analytical material not typically available through standard CPD content or academic instruction. These sessions will be led by senior Fellows, academic affiliates and, in select cases, external practitioners whose expertise addresses a specific gap in the Society's curriculum offering.</w:t>
      </w:r>
    </w:p>
    <w:p w14:paraId="627ACC21" w14:textId="77777777" w:rsidR="00E10BAB" w:rsidRPr="00E56738" w:rsidRDefault="00E10BAB">
      <w:pPr>
        <w:jc w:val="both"/>
        <w:rPr>
          <w:rFonts w:ascii="Univers" w:eastAsia="Open Sans" w:hAnsi="Univers" w:cs="Open Sans"/>
          <w:sz w:val="20"/>
          <w:szCs w:val="20"/>
        </w:rPr>
      </w:pPr>
    </w:p>
    <w:p w14:paraId="627ACC22"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 xml:space="preserve">Masterclasses are being designed to be intentionally narrow in scope. Rather than surveying broad topics, each session is intended to examine a discrete analytical challenge in depth — </w:t>
      </w:r>
      <w:r w:rsidRPr="00E56738">
        <w:rPr>
          <w:rFonts w:ascii="Univers" w:eastAsia="Open Sans" w:hAnsi="Univers" w:cs="Open Sans"/>
          <w:sz w:val="20"/>
          <w:szCs w:val="20"/>
        </w:rPr>
        <w:lastRenderedPageBreak/>
        <w:t>advanced valuation techniques for complex capital structures, sector-specific modelling in industries with unconventional accounting treatment, or the practical application of emerging disclosure standards. This format reflects the Society's view that genuine expertise is built through depth of engagement with difficult material, not breadth of exposure to introductory concepts.</w:t>
      </w:r>
    </w:p>
    <w:p w14:paraId="627ACC23" w14:textId="77777777" w:rsidR="00E10BAB" w:rsidRPr="00E56738" w:rsidRDefault="00E10BAB">
      <w:pPr>
        <w:jc w:val="both"/>
        <w:rPr>
          <w:rFonts w:ascii="Univers" w:eastAsia="Open Sans" w:hAnsi="Univers" w:cs="Open Sans"/>
          <w:sz w:val="20"/>
          <w:szCs w:val="20"/>
        </w:rPr>
      </w:pPr>
    </w:p>
    <w:p w14:paraId="627ACC24"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Workshops are intended to complement Masterclasses with a more applied structure, typically involving case-based exercises where participants work through analytical problems under the guidance of a facilitator with direct experience of the issue at hand. These sessions will be limited in size to preserve the quality of engagement and discussion, and participation is expected to be restricted to Members and Fellows, reflecting the level of prior competence the material will assume.</w:t>
      </w:r>
    </w:p>
    <w:p w14:paraId="627ACC25" w14:textId="77777777" w:rsidR="00E10BAB" w:rsidRPr="00E56738" w:rsidRDefault="00E10BAB">
      <w:pPr>
        <w:jc w:val="both"/>
        <w:rPr>
          <w:rFonts w:ascii="Univers" w:eastAsia="Open Sans" w:hAnsi="Univers" w:cs="Open Sans"/>
          <w:sz w:val="20"/>
          <w:szCs w:val="20"/>
        </w:rPr>
      </w:pPr>
    </w:p>
    <w:p w14:paraId="627ACC26"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Topics will be determined through a combination of member demand, Advisory Committee guidance and emerging market developments that warrant focused attention — for example, shifts in regulatory disclosure regimes, structural changes in specific sectors, or advances in analytical methodology that have not yet been widely adopted. This responsiveness is intended to ensure the program remains relevant rather than repeating static content year after year.</w:t>
      </w:r>
    </w:p>
    <w:p w14:paraId="627ACC27" w14:textId="77777777" w:rsidR="00E10BAB" w:rsidRPr="00E56738" w:rsidRDefault="00E10BAB">
      <w:pPr>
        <w:jc w:val="both"/>
        <w:rPr>
          <w:rFonts w:ascii="Univers" w:eastAsia="Open Sans" w:hAnsi="Univers" w:cs="Open Sans"/>
          <w:sz w:val="20"/>
          <w:szCs w:val="20"/>
        </w:rPr>
      </w:pPr>
    </w:p>
    <w:p w14:paraId="627ACC28"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Attendance at Masterclasses and Workshops is intended to satisfy CPD requirements and be recorded accordingly, once the CPD framework is established, though members are expected to pursue this offering for reasons beyond compliance. These sessions are intended to offer an opportunity to engage directly with practitioners shaping the profession's more demanding technical questions — a form of professional development the Society considers essential to maintaining the analytical seriousness its credentials are meant to signal.</w:t>
      </w:r>
    </w:p>
    <w:p w14:paraId="627ACC29" w14:textId="77777777" w:rsidR="00E10BAB" w:rsidRPr="00E56738" w:rsidRDefault="00E10BAB">
      <w:pPr>
        <w:jc w:val="both"/>
        <w:rPr>
          <w:rFonts w:ascii="Univers" w:eastAsia="Open Sans" w:hAnsi="Univers" w:cs="Open Sans"/>
          <w:sz w:val="20"/>
          <w:szCs w:val="20"/>
        </w:rPr>
      </w:pPr>
    </w:p>
    <w:p w14:paraId="627ACC2A" w14:textId="77777777" w:rsidR="00E10BAB" w:rsidRPr="00E56738" w:rsidRDefault="00000000">
      <w:pPr>
        <w:jc w:val="both"/>
        <w:rPr>
          <w:rFonts w:ascii="Univers" w:eastAsia="Open Sans" w:hAnsi="Univers" w:cs="Open Sans"/>
          <w:b/>
          <w:bCs/>
          <w:sz w:val="24"/>
          <w:szCs w:val="24"/>
        </w:rPr>
      </w:pPr>
      <w:r w:rsidRPr="00E56738">
        <w:rPr>
          <w:rFonts w:ascii="Univers" w:eastAsia="Open Sans" w:hAnsi="Univers" w:cs="Open Sans"/>
          <w:b/>
          <w:bCs/>
          <w:sz w:val="24"/>
          <w:szCs w:val="24"/>
        </w:rPr>
        <w:t>Executive Education Programs</w:t>
      </w:r>
    </w:p>
    <w:p w14:paraId="627ACC2B" w14:textId="77777777" w:rsidR="00E10BAB" w:rsidRPr="00E56738" w:rsidRDefault="00E10BAB">
      <w:pPr>
        <w:jc w:val="both"/>
        <w:rPr>
          <w:rFonts w:ascii="Univers" w:eastAsia="Open Sans" w:hAnsi="Univers" w:cs="Open Sans"/>
          <w:sz w:val="20"/>
          <w:szCs w:val="20"/>
        </w:rPr>
      </w:pPr>
    </w:p>
    <w:p w14:paraId="627ACC2C"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The Society's Executive Education Programs are being structured for senior analysts, portfolio managers and research leaders whose professional development needs differ meaningfully from those of practitioners earlier in their careers. Where foundational credentialing establishes technical competence, Executive Education is intended to address the judgement, leadership and institutional responsibilities that accompany seniority within the profession.</w:t>
      </w:r>
    </w:p>
    <w:p w14:paraId="627ACC2D" w14:textId="77777777" w:rsidR="00E10BAB" w:rsidRPr="00E56738" w:rsidRDefault="00E10BAB">
      <w:pPr>
        <w:jc w:val="both"/>
        <w:rPr>
          <w:rFonts w:ascii="Univers" w:eastAsia="Open Sans" w:hAnsi="Univers" w:cs="Open Sans"/>
          <w:sz w:val="20"/>
          <w:szCs w:val="20"/>
        </w:rPr>
      </w:pPr>
    </w:p>
    <w:p w14:paraId="627ACC2E"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 xml:space="preserve">Programs will be delivered in partnership with the Society's academic affiliates and are being designed around the specific demands senior practitioners encounter: managing research teams while preserving analytical independence, navigating institutional conflicts of interest, engaging credibly with regulators and boards, and making judgement calls in conditions where the evidence is incomplete and the consequences of error are significant. This is not intended to be generic leadership training adapted for a financial audience. Curriculum content is being developed specifically for the </w:t>
      </w:r>
      <w:proofErr w:type="gramStart"/>
      <w:r w:rsidRPr="00E56738">
        <w:rPr>
          <w:rFonts w:ascii="Univers" w:eastAsia="Open Sans" w:hAnsi="Univers" w:cs="Open Sans"/>
          <w:sz w:val="20"/>
          <w:szCs w:val="20"/>
        </w:rPr>
        <w:t>responsibilities</w:t>
      </w:r>
      <w:proofErr w:type="gramEnd"/>
      <w:r w:rsidRPr="00E56738">
        <w:rPr>
          <w:rFonts w:ascii="Univers" w:eastAsia="Open Sans" w:hAnsi="Univers" w:cs="Open Sans"/>
          <w:sz w:val="20"/>
          <w:szCs w:val="20"/>
        </w:rPr>
        <w:t xml:space="preserve"> equity analysis leadership carries.</w:t>
      </w:r>
    </w:p>
    <w:p w14:paraId="627ACC2F" w14:textId="77777777" w:rsidR="00E10BAB" w:rsidRPr="00E56738" w:rsidRDefault="00E10BAB">
      <w:pPr>
        <w:jc w:val="both"/>
        <w:rPr>
          <w:rFonts w:ascii="Univers" w:eastAsia="Open Sans" w:hAnsi="Univers" w:cs="Open Sans"/>
          <w:sz w:val="20"/>
          <w:szCs w:val="20"/>
        </w:rPr>
      </w:pPr>
    </w:p>
    <w:p w14:paraId="627ACC30"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Executive Education will be offered through a combination of intensive short-form programs and longer executive courses, typically delivered in partnership with affiliated business schools, once these affiliations are established. Some programs are intended to culminate in a formal credential recognised by the Society as evidence of advanced professional development, though this will be distinct from the Certified Equity Analyst designation and the Fellowship review process.</w:t>
      </w:r>
    </w:p>
    <w:p w14:paraId="627ACC31" w14:textId="77777777" w:rsidR="00E10BAB" w:rsidRPr="00E56738" w:rsidRDefault="00E10BAB">
      <w:pPr>
        <w:jc w:val="both"/>
        <w:rPr>
          <w:rFonts w:ascii="Univers" w:eastAsia="Open Sans" w:hAnsi="Univers" w:cs="Open Sans"/>
          <w:sz w:val="20"/>
          <w:szCs w:val="20"/>
        </w:rPr>
      </w:pPr>
    </w:p>
    <w:p w14:paraId="627ACC32"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Participation is expected to be reserved generally for Members and Fellows with substantial professional experience, though institutional members will be able to nominate senior analysts for participation as part of their internal development planning. Cohorts will be kept deliberately small, reflecting the Society's conviction that executive-level development is best achieved through sustained engagement with peers facing comparable responsibilities, rather than large-scale instructional formats.</w:t>
      </w:r>
    </w:p>
    <w:p w14:paraId="627ACC33" w14:textId="77777777" w:rsidR="00E10BAB" w:rsidRPr="00E56738" w:rsidRDefault="00E10BAB">
      <w:pPr>
        <w:jc w:val="both"/>
        <w:rPr>
          <w:rFonts w:ascii="Univers" w:eastAsia="Open Sans" w:hAnsi="Univers" w:cs="Open Sans"/>
          <w:sz w:val="20"/>
          <w:szCs w:val="20"/>
        </w:rPr>
      </w:pPr>
    </w:p>
    <w:p w14:paraId="627ACC34"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lastRenderedPageBreak/>
        <w:t>The programs are also intended to serve a broader institutional purpose. By investing in the development of senior practitioners, the Society intends to reinforce the expectation that leadership within equity analysis carries the same ethical and analytical discipline expected of individual contributors — arguably to a greater degree, given the influence senior analysts exert over research culture within their organisations.</w:t>
      </w:r>
    </w:p>
    <w:p w14:paraId="627ACC35" w14:textId="77777777" w:rsidR="00E10BAB" w:rsidRPr="00E56738" w:rsidRDefault="00E10BAB">
      <w:pPr>
        <w:jc w:val="both"/>
        <w:rPr>
          <w:rFonts w:ascii="Univers" w:eastAsia="Open Sans" w:hAnsi="Univers" w:cs="Open Sans"/>
          <w:sz w:val="20"/>
          <w:szCs w:val="20"/>
        </w:rPr>
      </w:pPr>
    </w:p>
    <w:p w14:paraId="627ACC36"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For future members approaching or occupying leadership positions, Executive Education is intended to represent a deliberate investment in the judgement that seniority in this profession demands.</w:t>
      </w:r>
    </w:p>
    <w:p w14:paraId="627ACC37" w14:textId="77777777" w:rsidR="00E10BAB" w:rsidRPr="00E56738" w:rsidRDefault="00E10BAB">
      <w:pPr>
        <w:jc w:val="both"/>
        <w:rPr>
          <w:rFonts w:ascii="Univers" w:eastAsia="Open Sans" w:hAnsi="Univers" w:cs="Open Sans"/>
          <w:sz w:val="20"/>
          <w:szCs w:val="20"/>
        </w:rPr>
      </w:pPr>
    </w:p>
    <w:p w14:paraId="627ACC38" w14:textId="77777777" w:rsidR="00E10BAB" w:rsidRPr="00E56738" w:rsidRDefault="00000000">
      <w:pPr>
        <w:jc w:val="both"/>
        <w:rPr>
          <w:rFonts w:ascii="Univers" w:eastAsia="Open Sans" w:hAnsi="Univers" w:cs="Open Sans"/>
          <w:b/>
          <w:bCs/>
          <w:sz w:val="24"/>
          <w:szCs w:val="24"/>
        </w:rPr>
      </w:pPr>
      <w:r w:rsidRPr="00E56738">
        <w:rPr>
          <w:rFonts w:ascii="Univers" w:eastAsia="Open Sans" w:hAnsi="Univers" w:cs="Open Sans"/>
          <w:b/>
          <w:bCs/>
          <w:sz w:val="24"/>
          <w:szCs w:val="24"/>
        </w:rPr>
        <w:t>Mentorship &amp; Leadership Programs</w:t>
      </w:r>
    </w:p>
    <w:p w14:paraId="627ACC39" w14:textId="77777777" w:rsidR="00E10BAB" w:rsidRPr="00E56738" w:rsidRDefault="00E10BAB">
      <w:pPr>
        <w:jc w:val="both"/>
        <w:rPr>
          <w:rFonts w:ascii="Univers" w:eastAsia="Open Sans" w:hAnsi="Univers" w:cs="Open Sans"/>
          <w:b/>
          <w:bCs/>
          <w:sz w:val="24"/>
          <w:szCs w:val="24"/>
        </w:rPr>
      </w:pPr>
    </w:p>
    <w:p w14:paraId="627ACC3A"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The Society's Mentorship &amp; Leadership Programs are being developed to formalise a practice that has historically occurred informally within the profession — senior analysts guiding the development of those earlier in their careers — and to structure it in a manner consistent with the Society's broader standards of accountability and seriousness.</w:t>
      </w:r>
    </w:p>
    <w:p w14:paraId="627ACC3B" w14:textId="77777777" w:rsidR="00E10BAB" w:rsidRPr="00E56738" w:rsidRDefault="00E10BAB">
      <w:pPr>
        <w:jc w:val="both"/>
        <w:rPr>
          <w:rFonts w:ascii="Univers" w:eastAsia="Open Sans" w:hAnsi="Univers" w:cs="Open Sans"/>
          <w:sz w:val="20"/>
          <w:szCs w:val="20"/>
        </w:rPr>
      </w:pPr>
    </w:p>
    <w:p w14:paraId="627ACC3C"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Mentorship pairings will be established between Fellows or senior Members and Associates or early-career Members, matched according to sector specialisation, regional market exposure and specific development objectives identified by the mentee. Mentors will be expected to provide substantive guidance on analytical judgement, career navigation and professional conduct — not informal encouragement disconnected from the technical realities of the profession. The Society intends to provide a structured framework for these relationships, including defined objectives and periodic review, while allowing sufficient flexibility for the relationship to develop according to the specific needs of the participants.</w:t>
      </w:r>
    </w:p>
    <w:p w14:paraId="627ACC3D" w14:textId="77777777" w:rsidR="00E10BAB" w:rsidRPr="00E56738" w:rsidRDefault="00E10BAB">
      <w:pPr>
        <w:jc w:val="both"/>
        <w:rPr>
          <w:rFonts w:ascii="Univers" w:eastAsia="Open Sans" w:hAnsi="Univers" w:cs="Open Sans"/>
          <w:sz w:val="20"/>
          <w:szCs w:val="20"/>
        </w:rPr>
      </w:pPr>
    </w:p>
    <w:p w14:paraId="627ACC3E"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Leadership Programs are intended to extend beyond one-to-one mentorship to prepare Members for formal leadership roles within the Society itself — chapter leadership, committee service, or eventual consideration for the Leadership Council, as these structures develop. These programs will combine structured instruction with direct exposure to governance responsibilities, allowing participants to develop familiarity with the institutional demands of leadership before assuming them formally.</w:t>
      </w:r>
    </w:p>
    <w:p w14:paraId="627ACC3F" w14:textId="77777777" w:rsidR="00E10BAB" w:rsidRPr="00E56738" w:rsidRDefault="00E10BAB">
      <w:pPr>
        <w:jc w:val="both"/>
        <w:rPr>
          <w:rFonts w:ascii="Univers" w:eastAsia="Open Sans" w:hAnsi="Univers" w:cs="Open Sans"/>
          <w:sz w:val="20"/>
          <w:szCs w:val="20"/>
        </w:rPr>
      </w:pPr>
    </w:p>
    <w:p w14:paraId="627ACC40"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Both programs are intended to reflect a conviction embedded throughout the Society's structure: that professional standards are sustained not merely through credentialing and disciplinary enforcement, but through the deliberate transmission of judgement and ethical seriousness from one generation of practitioners to the next. A profession that relies solely on formal examination to maintain its standards will, over time, lose the tacit knowledge that experienced practitioners carry.</w:t>
      </w:r>
    </w:p>
    <w:p w14:paraId="627ACC41" w14:textId="77777777" w:rsidR="00E10BAB" w:rsidRPr="00E56738" w:rsidRDefault="00E10BAB">
      <w:pPr>
        <w:jc w:val="both"/>
        <w:rPr>
          <w:rFonts w:ascii="Univers" w:eastAsia="Open Sans" w:hAnsi="Univers" w:cs="Open Sans"/>
          <w:sz w:val="20"/>
          <w:szCs w:val="20"/>
        </w:rPr>
      </w:pPr>
    </w:p>
    <w:p w14:paraId="627ACC42"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Participation in mentorship as a mentee, and eventual service as a mentor, will be viewed by the Society as a meaningful contribution to professional standing — a factor intended to be considered, though not determinative, in Fellowship review. For future members at any stage of their career, these programs are intended to offer structured access to the accumulated judgement of practitioners who have already navigated the challenges ahead of them.</w:t>
      </w:r>
    </w:p>
    <w:p w14:paraId="627ACC43" w14:textId="77777777" w:rsidR="00E10BAB" w:rsidRPr="00E56738" w:rsidRDefault="00E10BAB">
      <w:pPr>
        <w:jc w:val="both"/>
        <w:rPr>
          <w:rFonts w:ascii="Univers" w:eastAsia="Open Sans" w:hAnsi="Univers" w:cs="Open Sans"/>
          <w:sz w:val="20"/>
          <w:szCs w:val="20"/>
        </w:rPr>
      </w:pPr>
    </w:p>
    <w:p w14:paraId="627ACC44" w14:textId="77777777" w:rsidR="00E10BAB" w:rsidRPr="00E56738" w:rsidRDefault="00000000">
      <w:pPr>
        <w:jc w:val="both"/>
        <w:rPr>
          <w:rFonts w:ascii="Univers" w:eastAsia="Open Sans" w:hAnsi="Univers" w:cs="Open Sans"/>
          <w:b/>
          <w:bCs/>
          <w:sz w:val="24"/>
          <w:szCs w:val="24"/>
        </w:rPr>
      </w:pPr>
      <w:r w:rsidRPr="00E56738">
        <w:rPr>
          <w:rFonts w:ascii="Univers" w:eastAsia="Open Sans" w:hAnsi="Univers" w:cs="Open Sans"/>
          <w:b/>
          <w:bCs/>
          <w:sz w:val="24"/>
          <w:szCs w:val="24"/>
        </w:rPr>
        <w:t>Technical Briefings &amp; Regulatory Updates</w:t>
      </w:r>
    </w:p>
    <w:p w14:paraId="627ACC45" w14:textId="77777777" w:rsidR="00E10BAB" w:rsidRPr="00E56738" w:rsidRDefault="00E10BAB">
      <w:pPr>
        <w:jc w:val="both"/>
        <w:rPr>
          <w:rFonts w:ascii="Univers" w:eastAsia="Open Sans" w:hAnsi="Univers" w:cs="Open Sans"/>
          <w:sz w:val="20"/>
          <w:szCs w:val="20"/>
        </w:rPr>
      </w:pPr>
    </w:p>
    <w:p w14:paraId="627ACC46"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Equity analysis is conducted within a regulatory environment that changes continuously and unevenly across jurisdictions, and the Society's Technical Briefings &amp; Regulatory Updates are being developed to ensure members are not left to interpret these developments without informed guidance. This offering is intended to be distinct from standard CPD content in its immediacy — briefings will be convened in response to specific regulatory or market developments rather than delivered on a fixed academic schedule.</w:t>
      </w:r>
    </w:p>
    <w:p w14:paraId="627ACC47" w14:textId="77777777" w:rsidR="00E10BAB" w:rsidRPr="00E56738" w:rsidRDefault="00E10BAB">
      <w:pPr>
        <w:jc w:val="both"/>
        <w:rPr>
          <w:rFonts w:ascii="Univers" w:eastAsia="Open Sans" w:hAnsi="Univers" w:cs="Open Sans"/>
          <w:sz w:val="20"/>
          <w:szCs w:val="20"/>
        </w:rPr>
      </w:pPr>
    </w:p>
    <w:p w14:paraId="627ACC48"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lastRenderedPageBreak/>
        <w:t>Briefings will be prepared and delivered by members of the relevant Global Advisory Committee, once constituted, often in consultation with regulatory bodies or legal specialists where technical precision requires it. Anticipated subject matter includes changes to disclosure regimes, amendments to research objectivity requirements, shifts in market conduct supervision, and structural regulatory developments affecting specific sectors or regions. Each briefing will be assessed for direct relevance to analytical practice — the Society does not intend to produce commentary for the sake of appearing responsive to news cycles.</w:t>
      </w:r>
    </w:p>
    <w:p w14:paraId="627ACC49" w14:textId="77777777" w:rsidR="00E10BAB" w:rsidRPr="00E56738" w:rsidRDefault="00E10BAB">
      <w:pPr>
        <w:jc w:val="both"/>
        <w:rPr>
          <w:rFonts w:ascii="Univers" w:eastAsia="Open Sans" w:hAnsi="Univers" w:cs="Open Sans"/>
          <w:sz w:val="20"/>
          <w:szCs w:val="20"/>
        </w:rPr>
      </w:pPr>
    </w:p>
    <w:p w14:paraId="627ACC4A"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Regulatory Updates will be distributed on a rolling basis and maintained as a reference archive, allowing members to review how a particular regulatory matter has developed over time rather than relying on a single point-in-time briefing. This is intended to be particularly relevant for members operating across multiple jurisdictions, where divergence in regulatory approach can materially affect research methodology and disclosure obligations.</w:t>
      </w:r>
    </w:p>
    <w:p w14:paraId="627ACC4B" w14:textId="77777777" w:rsidR="00E10BAB" w:rsidRPr="00E56738" w:rsidRDefault="00E10BAB">
      <w:pPr>
        <w:jc w:val="both"/>
        <w:rPr>
          <w:rFonts w:ascii="Univers" w:eastAsia="Open Sans" w:hAnsi="Univers" w:cs="Open Sans"/>
          <w:sz w:val="20"/>
          <w:szCs w:val="20"/>
        </w:rPr>
      </w:pPr>
    </w:p>
    <w:p w14:paraId="627ACC4C"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Briefings are also intended to serve a function beyond information transfer — providing members with the Society's institutional interpretation of how a regulatory development intersects with the Research Objectivity Standards and the Best Practice Guidelines Governing Analyst/Corporate Issuer Relations, a perspective grounded in the Society's own ethical framework rather than generic legal commentary.</w:t>
      </w:r>
    </w:p>
    <w:p w14:paraId="627ACC4D" w14:textId="77777777" w:rsidR="00E10BAB" w:rsidRPr="00E56738" w:rsidRDefault="00E10BAB">
      <w:pPr>
        <w:jc w:val="both"/>
        <w:rPr>
          <w:rFonts w:ascii="Univers" w:eastAsia="Open Sans" w:hAnsi="Univers" w:cs="Open Sans"/>
          <w:sz w:val="20"/>
          <w:szCs w:val="20"/>
        </w:rPr>
      </w:pPr>
    </w:p>
    <w:p w14:paraId="627ACC4E" w14:textId="77777777" w:rsidR="00E10BAB" w:rsidRPr="00E56738" w:rsidRDefault="00000000">
      <w:pPr>
        <w:jc w:val="both"/>
        <w:rPr>
          <w:rFonts w:ascii="Univers" w:eastAsia="Open Sans" w:hAnsi="Univers" w:cs="Open Sans"/>
          <w:sz w:val="20"/>
          <w:szCs w:val="20"/>
        </w:rPr>
      </w:pPr>
      <w:r w:rsidRPr="00E56738">
        <w:rPr>
          <w:rFonts w:ascii="Univers" w:eastAsia="Open Sans" w:hAnsi="Univers" w:cs="Open Sans"/>
          <w:sz w:val="20"/>
          <w:szCs w:val="20"/>
        </w:rPr>
        <w:t>Attendance and engagement with Technical Briefings will be intended to count toward CPD requirements once that framework is established, though members will be encouraged to treat this offering as a professional necessity rather than a compliance exercise. In a profession where regulatory ignorance carries direct consequences for the credibility of published research, staying current is not optional — it is a basic condition of practising equity analysis responsibly.</w:t>
      </w:r>
    </w:p>
    <w:p w14:paraId="627ACC4F" w14:textId="77777777" w:rsidR="00E10BAB" w:rsidRPr="00E56738" w:rsidRDefault="00E10BAB">
      <w:pPr>
        <w:rPr>
          <w:rFonts w:ascii="Univers" w:eastAsia="Open Sans" w:hAnsi="Univers" w:cs="Open Sans"/>
          <w:sz w:val="20"/>
          <w:szCs w:val="20"/>
        </w:rPr>
      </w:pPr>
    </w:p>
    <w:sectPr w:rsidR="00E10BAB" w:rsidRPr="00E5673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E4C41EB-C0CC-49A5-9CA6-8E9A65D8FB85}"/>
    <w:embedBold r:id="rId2" w:fontKey="{6EB59F33-A751-4F77-B061-39E420B452CD}"/>
    <w:embedItalic r:id="rId3" w:fontKey="{E471242D-F262-4746-8D0E-3CAE56664C3F}"/>
  </w:font>
  <w:font w:name="Play">
    <w:charset w:val="00"/>
    <w:family w:val="auto"/>
    <w:pitch w:val="default"/>
    <w:embedRegular r:id="rId4" w:fontKey="{72E7434A-B797-4144-BE11-3B7F48E30FD9}"/>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5" w:fontKey="{56DE6AD4-6EF5-4A7A-B189-9AA4EF06F295}"/>
    <w:embedBold r:id="rId6" w:fontKey="{E964F765-FAD7-4A62-BAF1-1BDC0E7FE500}"/>
  </w:font>
  <w:font w:name="Open Sans">
    <w:charset w:val="00"/>
    <w:family w:val="swiss"/>
    <w:pitch w:val="variable"/>
    <w:sig w:usb0="E00002EF" w:usb1="4000205B" w:usb2="00000028" w:usb3="00000000" w:csb0="0000019F" w:csb1="00000000"/>
    <w:embedRegular r:id="rId7" w:fontKey="{A66B5CEB-E33D-4B1F-AD24-09E9B43482DB}"/>
    <w:embedBold r:id="rId8" w:fontKey="{D99073DE-A19F-4C42-82C2-8F848A90BE69}"/>
  </w:font>
  <w:font w:name="Calibri">
    <w:panose1 w:val="020F0502020204030204"/>
    <w:charset w:val="00"/>
    <w:family w:val="swiss"/>
    <w:pitch w:val="variable"/>
    <w:sig w:usb0="E4002EFF" w:usb1="C200247B" w:usb2="00000009" w:usb3="00000000" w:csb0="000001FF" w:csb1="00000000"/>
    <w:embedRegular r:id="rId9" w:fontKey="{8954AABF-F1E7-46B0-B75D-57358C38983E}"/>
  </w:font>
  <w:font w:name="Cambria">
    <w:panose1 w:val="02040503050406030204"/>
    <w:charset w:val="00"/>
    <w:family w:val="roman"/>
    <w:pitch w:val="variable"/>
    <w:sig w:usb0="E00006FF" w:usb1="420024FF" w:usb2="02000000" w:usb3="00000000" w:csb0="0000019F" w:csb1="00000000"/>
    <w:embedRegular r:id="rId10" w:fontKey="{42998258-494E-420B-83A6-E9C42997B5F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BAB"/>
    <w:rsid w:val="00396844"/>
    <w:rsid w:val="007F08EA"/>
    <w:rsid w:val="008905EF"/>
    <w:rsid w:val="00AF528C"/>
    <w:rsid w:val="00E10BAB"/>
    <w:rsid w:val="00E56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ACC0B"/>
  <w15:docId w15:val="{63290D2D-6311-417E-BA84-CD9A3A154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IzY9YXv2IuSFYGgbMqh9M2ezw==">CgMxLjA4AHIhMVJweVhGMzA0VXlEc0VpOEFTOE40RzhhZmdfdXk0SzdS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1827</Words>
  <Characters>11256</Characters>
  <Application>Microsoft Office Word</Application>
  <DocSecurity>0</DocSecurity>
  <Lines>194</Lines>
  <Paragraphs>40</Paragraphs>
  <ScaleCrop>false</ScaleCrop>
  <Company/>
  <LinksUpToDate>false</LinksUpToDate>
  <CharactersWithSpaces>13043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Nuraena Abad</cp:lastModifiedBy>
  <cp:revision>4</cp:revision>
  <dcterms:created xsi:type="dcterms:W3CDTF">2026-07-20T07:29:00Z</dcterms:created>
  <dcterms:modified xsi:type="dcterms:W3CDTF">2026-07-20T15:23:00Z</dcterms:modified>
</cp:coreProperties>
</file>