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6064B" w14:textId="77777777" w:rsidR="003E309C" w:rsidRPr="007D65C0" w:rsidRDefault="00000000">
      <w:pPr>
        <w:jc w:val="center"/>
        <w:rPr>
          <w:rFonts w:ascii="Univers" w:hAnsi="Univers"/>
          <w:b/>
          <w:bCs/>
          <w:sz w:val="32"/>
          <w:szCs w:val="32"/>
        </w:rPr>
      </w:pPr>
      <w:r w:rsidRPr="007D65C0">
        <w:rPr>
          <w:rFonts w:ascii="Univers" w:hAnsi="Univers"/>
          <w:b/>
          <w:bCs/>
          <w:sz w:val="32"/>
          <w:szCs w:val="32"/>
        </w:rPr>
        <w:t>CAREER &amp; TALENT CENTRE</w:t>
      </w:r>
    </w:p>
    <w:p w14:paraId="2986064C" w14:textId="77777777" w:rsidR="003E309C" w:rsidRDefault="003E309C">
      <w:pPr>
        <w:rPr>
          <w:rFonts w:ascii="Univers" w:eastAsia="Open Sans" w:hAnsi="Univers" w:cs="Open Sans"/>
          <w:b/>
          <w:bCs/>
          <w:sz w:val="20"/>
          <w:szCs w:val="20"/>
        </w:rPr>
      </w:pPr>
    </w:p>
    <w:p w14:paraId="01049CDD" w14:textId="77777777" w:rsidR="008F7E2D" w:rsidRPr="007D65C0" w:rsidRDefault="008F7E2D">
      <w:pPr>
        <w:rPr>
          <w:rFonts w:ascii="Univers" w:eastAsia="Open Sans" w:hAnsi="Univers" w:cs="Open Sans"/>
          <w:b/>
          <w:bCs/>
          <w:sz w:val="20"/>
          <w:szCs w:val="20"/>
        </w:rPr>
      </w:pPr>
    </w:p>
    <w:p w14:paraId="2986064D" w14:textId="77777777" w:rsidR="003E309C" w:rsidRPr="007D65C0" w:rsidRDefault="00000000">
      <w:pPr>
        <w:rPr>
          <w:rFonts w:ascii="Univers" w:eastAsia="Open Sans" w:hAnsi="Univers" w:cs="Open Sans"/>
          <w:b/>
          <w:bCs/>
          <w:sz w:val="24"/>
          <w:szCs w:val="24"/>
        </w:rPr>
      </w:pPr>
      <w:r w:rsidRPr="007D65C0">
        <w:rPr>
          <w:rFonts w:ascii="Univers" w:eastAsia="Open Sans" w:hAnsi="Univers" w:cs="Open Sans"/>
          <w:b/>
          <w:bCs/>
          <w:sz w:val="24"/>
          <w:szCs w:val="24"/>
        </w:rPr>
        <w:t>Global Equity Analyst Job Board</w:t>
      </w:r>
    </w:p>
    <w:p w14:paraId="2986064E" w14:textId="77777777" w:rsidR="003E309C" w:rsidRPr="007D65C0" w:rsidRDefault="003E309C">
      <w:pPr>
        <w:rPr>
          <w:rFonts w:ascii="Univers" w:eastAsia="Open Sans" w:hAnsi="Univers" w:cs="Open Sans"/>
          <w:sz w:val="20"/>
          <w:szCs w:val="20"/>
        </w:rPr>
      </w:pPr>
    </w:p>
    <w:p w14:paraId="2986064F" w14:textId="5FCCB845"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 xml:space="preserve">The Society's Job Board </w:t>
      </w:r>
      <w:r w:rsidR="00CB1331">
        <w:rPr>
          <w:rFonts w:ascii="Univers" w:eastAsia="Open Sans" w:hAnsi="Univers" w:cs="Open Sans"/>
          <w:sz w:val="20"/>
          <w:szCs w:val="20"/>
        </w:rPr>
        <w:t>will</w:t>
      </w:r>
      <w:r w:rsidRPr="007D65C0">
        <w:rPr>
          <w:rFonts w:ascii="Univers" w:eastAsia="Open Sans" w:hAnsi="Univers" w:cs="Open Sans"/>
          <w:sz w:val="20"/>
          <w:szCs w:val="20"/>
        </w:rPr>
        <w:t xml:space="preserve"> connect employers with analysts whose credentials and conduct have been vetted against a recognised professional standard. It is not intended to be a general recruitment listing. Access will be restricted to institutions that engage in genuine equity research, asset management, corporate finance or related analytical functions, and postings will be reviewed to ensure they reflect roles commensurate with the seniority and rigour the Society's membership is intended to represent.</w:t>
      </w:r>
    </w:p>
    <w:p w14:paraId="29860650" w14:textId="77777777" w:rsidR="003E309C" w:rsidRPr="007D65C0" w:rsidRDefault="003E309C" w:rsidP="008F7E2D">
      <w:pPr>
        <w:rPr>
          <w:rFonts w:ascii="Univers" w:eastAsia="Open Sans" w:hAnsi="Univers" w:cs="Open Sans"/>
          <w:sz w:val="20"/>
          <w:szCs w:val="20"/>
        </w:rPr>
      </w:pPr>
    </w:p>
    <w:p w14:paraId="29860651"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For future members, the Job Board is intended to offer something a conventional recruitment platform cannot: visibility to employers who understand the weight of a MISEA or FISEA designation without requiring further explanation. Candidates will not compete on the basis of generic keyword matching. Their profile will carry the context of examination performance, CPD compliance and, where applicable, Fellowship review — information intended to shorten the distance between application and serious consideration.</w:t>
      </w:r>
    </w:p>
    <w:p w14:paraId="29860652" w14:textId="77777777" w:rsidR="003E309C" w:rsidRPr="007D65C0" w:rsidRDefault="003E309C" w:rsidP="008F7E2D">
      <w:pPr>
        <w:rPr>
          <w:rFonts w:ascii="Univers" w:eastAsia="Open Sans" w:hAnsi="Univers" w:cs="Open Sans"/>
          <w:sz w:val="20"/>
          <w:szCs w:val="20"/>
        </w:rPr>
      </w:pPr>
    </w:p>
    <w:p w14:paraId="29860653"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Listings are intended to span the full range of the profession, from buy-side and sell-side research positions to roles in portfolio management, corporate access, investor relations and regulatory analysis. Employers will be able to specify whether a position requires a particular grade of membership, regional chapter affiliation or subject-matter specialisation, allowing candidates to assess fit before committing time to an application.</w:t>
      </w:r>
    </w:p>
    <w:p w14:paraId="29860654" w14:textId="77777777" w:rsidR="003E309C" w:rsidRPr="007D65C0" w:rsidRDefault="003E309C" w:rsidP="008F7E2D">
      <w:pPr>
        <w:rPr>
          <w:rFonts w:ascii="Univers" w:eastAsia="Open Sans" w:hAnsi="Univers" w:cs="Open Sans"/>
          <w:sz w:val="20"/>
          <w:szCs w:val="20"/>
        </w:rPr>
      </w:pPr>
    </w:p>
    <w:p w14:paraId="29860655"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The Board is also intended to serve institutional members directly. Firms enrolled under Corporate &amp; Institutional Membership will be able to post opportunities with the understanding that applicants have already demonstrated alignment with the Society's ethical and analytical standards — a meaningful advantage when hiring for functions where independence of judgement cannot be taken on faith.</w:t>
      </w:r>
    </w:p>
    <w:p w14:paraId="29860656" w14:textId="77777777" w:rsidR="003E309C" w:rsidRPr="007D65C0" w:rsidRDefault="003E309C" w:rsidP="008F7E2D">
      <w:pPr>
        <w:rPr>
          <w:rFonts w:ascii="Univers" w:eastAsia="Open Sans" w:hAnsi="Univers" w:cs="Open Sans"/>
          <w:sz w:val="20"/>
          <w:szCs w:val="20"/>
        </w:rPr>
      </w:pPr>
    </w:p>
    <w:p w14:paraId="29860657"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Access to the Job Board is intended to be a membership benefit, not a public service. Associates will be able to browse listings appropriate to their grade; full Members and Fellows are intended to receive expanded visibility, including senior and confidential mandates not advertised elsewhere. The Society does not intend to charge candidates to apply, nor to accept placements that compromise the independence expected of its members.</w:t>
      </w:r>
    </w:p>
    <w:p w14:paraId="29860658" w14:textId="77777777" w:rsidR="003E309C" w:rsidRPr="007D65C0" w:rsidRDefault="003E309C" w:rsidP="008F7E2D">
      <w:pPr>
        <w:rPr>
          <w:rFonts w:ascii="Univers" w:eastAsia="Open Sans" w:hAnsi="Univers" w:cs="Open Sans"/>
          <w:sz w:val="20"/>
          <w:szCs w:val="20"/>
        </w:rPr>
      </w:pPr>
    </w:p>
    <w:p w14:paraId="29860659"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Prospective members considering the Society should understand the planned Job Board as one expression of a broader principle: that credentialing, once earned, should carry practical weight in the market — not merely symbolic recognition, but a demonstrable advantage in how an analyst's career progresses.</w:t>
      </w:r>
    </w:p>
    <w:p w14:paraId="2986065A" w14:textId="77777777" w:rsidR="003E309C" w:rsidRPr="007D65C0" w:rsidRDefault="003E309C" w:rsidP="008F7E2D">
      <w:pPr>
        <w:rPr>
          <w:rFonts w:ascii="Univers" w:eastAsia="Open Sans" w:hAnsi="Univers" w:cs="Open Sans"/>
          <w:sz w:val="20"/>
          <w:szCs w:val="20"/>
        </w:rPr>
      </w:pPr>
    </w:p>
    <w:p w14:paraId="2986065B" w14:textId="77777777" w:rsidR="003E309C" w:rsidRPr="007D65C0" w:rsidRDefault="00000000" w:rsidP="008F7E2D">
      <w:pPr>
        <w:rPr>
          <w:rFonts w:ascii="Univers" w:eastAsia="Open Sans" w:hAnsi="Univers" w:cs="Open Sans"/>
          <w:b/>
          <w:bCs/>
          <w:sz w:val="24"/>
          <w:szCs w:val="24"/>
        </w:rPr>
      </w:pPr>
      <w:r w:rsidRPr="007D65C0">
        <w:rPr>
          <w:rFonts w:ascii="Univers" w:eastAsia="Open Sans" w:hAnsi="Univers" w:cs="Open Sans"/>
          <w:b/>
          <w:bCs/>
          <w:sz w:val="24"/>
          <w:szCs w:val="24"/>
        </w:rPr>
        <w:t>Career Pathways &amp; Compensation Benchmarks</w:t>
      </w:r>
    </w:p>
    <w:p w14:paraId="2986065C" w14:textId="77777777" w:rsidR="003E309C" w:rsidRPr="007D65C0" w:rsidRDefault="003E309C" w:rsidP="008F7E2D">
      <w:pPr>
        <w:rPr>
          <w:rFonts w:ascii="Univers" w:eastAsia="Open Sans" w:hAnsi="Univers" w:cs="Open Sans"/>
          <w:sz w:val="20"/>
          <w:szCs w:val="20"/>
        </w:rPr>
      </w:pPr>
    </w:p>
    <w:p w14:paraId="2986065D"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Equity analysis does not follow a single trajectory, and the Society's approach to career guidance is being developed to reflect that reality. Rather than prescribing a linear path, the Society intends to provide members with structured information on how careers in this profession typically develop — from entry-level research support through to senior analyst, portfolio management, or leadership positions within research departments, regulatory bodies and institutional investors. Understanding these pathways is intended to help members make informed decisions about specialisation, credentialing timing and the professional experience required to advance.</w:t>
      </w:r>
    </w:p>
    <w:p w14:paraId="2986065E" w14:textId="77777777" w:rsidR="003E309C" w:rsidRPr="007D65C0" w:rsidRDefault="003E309C" w:rsidP="008F7E2D">
      <w:pPr>
        <w:rPr>
          <w:rFonts w:ascii="Univers" w:eastAsia="Open Sans" w:hAnsi="Univers" w:cs="Open Sans"/>
          <w:sz w:val="20"/>
          <w:szCs w:val="20"/>
        </w:rPr>
      </w:pPr>
    </w:p>
    <w:p w14:paraId="2986065F"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 xml:space="preserve">The Society's compensation benchmarking data is intended to be drawn from confidential member surveys conducted across regions, sectors and seniority levels, once the membership </w:t>
      </w:r>
      <w:r w:rsidRPr="007D65C0">
        <w:rPr>
          <w:rFonts w:ascii="Univers" w:eastAsia="Open Sans" w:hAnsi="Univers" w:cs="Open Sans"/>
          <w:sz w:val="20"/>
          <w:szCs w:val="20"/>
        </w:rPr>
        <w:lastRenderedPageBreak/>
        <w:t>base is established. It is not intended to be aggregated industry commentary sourced from recruitment firms with commercial incentives to inflate expectations, but to reflect actual reported compensation among practising analysts, disaggregated by grade of membership, geography, asset class specialisation and years of relevant experience. Members will be able to use this data to negotiate compensation with an accurate understanding of market positioning, and employers will be able to use it to calibrate offers against a credible, profession-specific standard.</w:t>
      </w:r>
    </w:p>
    <w:p w14:paraId="29860660" w14:textId="77777777" w:rsidR="003E309C" w:rsidRPr="007D65C0" w:rsidRDefault="003E309C" w:rsidP="008F7E2D">
      <w:pPr>
        <w:rPr>
          <w:rFonts w:ascii="Univers" w:eastAsia="Open Sans" w:hAnsi="Univers" w:cs="Open Sans"/>
          <w:sz w:val="20"/>
          <w:szCs w:val="20"/>
        </w:rPr>
      </w:pPr>
    </w:p>
    <w:p w14:paraId="29860661"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Compensation in equity analysis varies considerably by market maturity, regulatory environment and the analytical function performed — sell-side research carries different structures to buy-side portfolio-facing roles, and both differ again from independent research houses. The Society's benchmarking is being designed to account for these distinctions rather than presenting a single global figure that obscures meaningful variation.</w:t>
      </w:r>
    </w:p>
    <w:p w14:paraId="29860662" w14:textId="77777777" w:rsidR="003E309C" w:rsidRPr="007D65C0" w:rsidRDefault="003E309C" w:rsidP="008F7E2D">
      <w:pPr>
        <w:rPr>
          <w:rFonts w:ascii="Univers" w:eastAsia="Open Sans" w:hAnsi="Univers" w:cs="Open Sans"/>
          <w:sz w:val="20"/>
          <w:szCs w:val="20"/>
        </w:rPr>
      </w:pPr>
    </w:p>
    <w:p w14:paraId="29860663"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Career pathway guidance is also intended to address the relationship between credentialing and advancement. Progression from Associate to full Membership, and eventually to Fellowship, is not intended to be merely a matter of tenure. It is intended to reflect demonstrated competence, ethical standing and contribution to the profession — factors the Society expects compensation data will show are recognised by employers who understand what the designations represent, once the benchmarking dataset is established.</w:t>
      </w:r>
    </w:p>
    <w:p w14:paraId="29860664" w14:textId="77777777" w:rsidR="003E309C" w:rsidRPr="007D65C0" w:rsidRDefault="003E309C" w:rsidP="008F7E2D">
      <w:pPr>
        <w:rPr>
          <w:rFonts w:ascii="Univers" w:eastAsia="Open Sans" w:hAnsi="Univers" w:cs="Open Sans"/>
          <w:sz w:val="20"/>
          <w:szCs w:val="20"/>
        </w:rPr>
      </w:pPr>
    </w:p>
    <w:p w14:paraId="29860665"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For future members navigating career decisions, and for prospective members assessing the value of credentialing, this planned resource is intended to offer a rare combination: an honest picture of what the profession pays, and a structured understanding of how serious practitioners move through it.</w:t>
      </w:r>
    </w:p>
    <w:p w14:paraId="29860666" w14:textId="77777777" w:rsidR="003E309C" w:rsidRPr="007D65C0" w:rsidRDefault="003E309C" w:rsidP="008F7E2D">
      <w:pPr>
        <w:rPr>
          <w:rFonts w:ascii="Univers" w:eastAsia="Open Sans" w:hAnsi="Univers" w:cs="Open Sans"/>
          <w:sz w:val="20"/>
          <w:szCs w:val="20"/>
        </w:rPr>
      </w:pPr>
    </w:p>
    <w:p w14:paraId="29860667" w14:textId="77777777" w:rsidR="003E309C" w:rsidRPr="007D65C0" w:rsidRDefault="00000000" w:rsidP="008F7E2D">
      <w:pPr>
        <w:rPr>
          <w:rFonts w:ascii="Univers" w:eastAsia="Open Sans" w:hAnsi="Univers" w:cs="Open Sans"/>
          <w:b/>
          <w:bCs/>
          <w:sz w:val="24"/>
          <w:szCs w:val="24"/>
        </w:rPr>
      </w:pPr>
      <w:r w:rsidRPr="007D65C0">
        <w:rPr>
          <w:rFonts w:ascii="Univers" w:eastAsia="Open Sans" w:hAnsi="Univers" w:cs="Open Sans"/>
          <w:b/>
          <w:bCs/>
          <w:sz w:val="24"/>
          <w:szCs w:val="24"/>
        </w:rPr>
        <w:t>Employer Partner Program</w:t>
      </w:r>
    </w:p>
    <w:p w14:paraId="29860668" w14:textId="77777777" w:rsidR="003E309C" w:rsidRPr="007D65C0" w:rsidRDefault="003E309C" w:rsidP="008F7E2D">
      <w:pPr>
        <w:rPr>
          <w:rFonts w:ascii="Univers" w:eastAsia="Open Sans" w:hAnsi="Univers" w:cs="Open Sans"/>
          <w:sz w:val="20"/>
          <w:szCs w:val="20"/>
        </w:rPr>
      </w:pPr>
    </w:p>
    <w:p w14:paraId="29860669"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The Employer Partner Program is being developed to formalise the relationship between the Society and institutions that rely on equity analysis talent — asset managers, investment banks, research houses, regulatory bodies and corporates with internal analytical functions. Partnership is not intended to be a sponsorship arrangement in the commercial sense, but a structured commitment by the employer to recognise the Society's credentialing framework and to engage constructively with the standards it represents.</w:t>
      </w:r>
    </w:p>
    <w:p w14:paraId="2986066A" w14:textId="77777777" w:rsidR="003E309C" w:rsidRPr="007D65C0" w:rsidRDefault="003E309C" w:rsidP="008F7E2D">
      <w:pPr>
        <w:rPr>
          <w:rFonts w:ascii="Univers" w:eastAsia="Open Sans" w:hAnsi="Univers" w:cs="Open Sans"/>
          <w:sz w:val="20"/>
          <w:szCs w:val="20"/>
        </w:rPr>
      </w:pPr>
    </w:p>
    <w:p w14:paraId="2986066B"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Employer Partners are intended to gain direct access to a pipeline of candidates whose competence and ethical standing have been assessed through a consistent, globally applied methodology, once the credentialing framework and membership base are established. This is intended to reduce the due diligence burden typically associated with hiring for analytical roles, particularly across borders, where verifying the substance of a candidate's prior experience and conduct can be difficult without a shared professional reference point.</w:t>
      </w:r>
    </w:p>
    <w:p w14:paraId="2986066C" w14:textId="77777777" w:rsidR="003E309C" w:rsidRPr="007D65C0" w:rsidRDefault="003E309C" w:rsidP="008F7E2D">
      <w:pPr>
        <w:rPr>
          <w:rFonts w:ascii="Univers" w:eastAsia="Open Sans" w:hAnsi="Univers" w:cs="Open Sans"/>
          <w:sz w:val="20"/>
          <w:szCs w:val="20"/>
        </w:rPr>
      </w:pPr>
    </w:p>
    <w:p w14:paraId="2986066D"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Partnership is intended to carry reciprocal obligations. Employers will be expected to support continuing professional development for employees holding Society credentials, provide input into curriculum relevance through advisory engagement where appropriate, and uphold internal research governance consistent with the Research Objectivity Standards and the Best Practice Guidelines Governing Analyst/Corporate Issuer Relations. This is not intended to be a passive arrangement. The Society will expect partners to treat the designation with the same seriousness its members do.</w:t>
      </w:r>
    </w:p>
    <w:p w14:paraId="2986066E" w14:textId="77777777" w:rsidR="003E309C" w:rsidRPr="007D65C0" w:rsidRDefault="003E309C" w:rsidP="008F7E2D">
      <w:pPr>
        <w:rPr>
          <w:rFonts w:ascii="Univers" w:eastAsia="Open Sans" w:hAnsi="Univers" w:cs="Open Sans"/>
          <w:sz w:val="20"/>
          <w:szCs w:val="20"/>
        </w:rPr>
      </w:pPr>
    </w:p>
    <w:p w14:paraId="2986066F"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In return, Employer Partners are intended to receive preferential access to the Job Board once launched, participation in campus and early-career recruitment initiatives connected to the Society's academic affiliates as these are established, and invitations to contribute to discussions on curriculum development and emerging analytical requirements. Partners will also be able to engage with the Society's Career Pathways data, once available, to benchmark internal compensation structures against verified profession-wide figures.</w:t>
      </w:r>
    </w:p>
    <w:p w14:paraId="29860670" w14:textId="77777777" w:rsidR="003E309C" w:rsidRPr="007D65C0" w:rsidRDefault="003E309C" w:rsidP="008F7E2D">
      <w:pPr>
        <w:rPr>
          <w:rFonts w:ascii="Univers" w:eastAsia="Open Sans" w:hAnsi="Univers" w:cs="Open Sans"/>
          <w:sz w:val="20"/>
          <w:szCs w:val="20"/>
        </w:rPr>
      </w:pPr>
    </w:p>
    <w:p w14:paraId="29860671"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Admission to the program is intended to be selective. The Society will review prospective partners for their research governance practices, regulatory standing and demonstrated commitment to the principles the Society's members are held to. This selectivity is deliberate. A partnership program open to any employer willing to pay a fee would undermine the value it is intended to create.</w:t>
      </w:r>
    </w:p>
    <w:p w14:paraId="29860672" w14:textId="77777777" w:rsidR="003E309C" w:rsidRPr="007D65C0" w:rsidRDefault="003E309C" w:rsidP="008F7E2D">
      <w:pPr>
        <w:rPr>
          <w:rFonts w:ascii="Univers" w:eastAsia="Open Sans" w:hAnsi="Univers" w:cs="Open Sans"/>
          <w:sz w:val="20"/>
          <w:szCs w:val="20"/>
        </w:rPr>
      </w:pPr>
    </w:p>
    <w:p w14:paraId="29860673"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For institutions serious about building or maintaining a credible research function, the Employer Partner Program is intended to offer a structured, mutually accountable relationship with the body that sets the professional standard its analysts will be measured against.</w:t>
      </w:r>
    </w:p>
    <w:p w14:paraId="29860674" w14:textId="77777777" w:rsidR="003E309C" w:rsidRPr="007D65C0" w:rsidRDefault="003E309C" w:rsidP="008F7E2D">
      <w:pPr>
        <w:rPr>
          <w:rFonts w:ascii="Univers" w:eastAsia="Open Sans" w:hAnsi="Univers" w:cs="Open Sans"/>
          <w:sz w:val="20"/>
          <w:szCs w:val="20"/>
        </w:rPr>
      </w:pPr>
    </w:p>
    <w:p w14:paraId="29860675"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b/>
          <w:bCs/>
          <w:sz w:val="24"/>
          <w:szCs w:val="24"/>
        </w:rPr>
        <w:t>Resume Review &amp; Executive Coaching</w:t>
      </w:r>
      <w:r w:rsidRPr="007D65C0">
        <w:rPr>
          <w:rFonts w:ascii="Univers" w:eastAsia="Open Sans" w:hAnsi="Univers" w:cs="Open Sans"/>
          <w:b/>
          <w:bCs/>
          <w:sz w:val="24"/>
          <w:szCs w:val="24"/>
        </w:rPr>
        <w:br/>
      </w:r>
    </w:p>
    <w:p w14:paraId="29860676"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Career progression in equity analysis is rarely determined by a single strong application. It is shaped by how effectively an analyst can communicate the substance of their judgement, the rigour of their methodology and the trajectory of their responsibilities — often to an audience that will scrutinise those claims as closely as the analyst scrutinises a company's disclosures. The Society's Resume Review and Executive Coaching services are being developed to support that communication at a professional standard consistent with the Society's credentialing framework.</w:t>
      </w:r>
    </w:p>
    <w:p w14:paraId="29860677" w14:textId="77777777" w:rsidR="003E309C" w:rsidRPr="007D65C0" w:rsidRDefault="003E309C" w:rsidP="008F7E2D">
      <w:pPr>
        <w:rPr>
          <w:rFonts w:ascii="Univers" w:eastAsia="Open Sans" w:hAnsi="Univers" w:cs="Open Sans"/>
          <w:sz w:val="20"/>
          <w:szCs w:val="20"/>
        </w:rPr>
      </w:pPr>
    </w:p>
    <w:p w14:paraId="29860678"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Resume Review is intended to be conducted by senior practitioners, not generalist career consultants, once the Society's Fellowship base is established. Reviewers are expected to understand what distinguishes a substantive research contribution from a procedural one, how to present sector specialisation credibly, and how compensation, title and firm structure vary meaningfully across jurisdictions in ways that generic templates fail to capture. Members will receive direct, candid feedback — not stylistic polish, but an assessment of whether the document accurately reflects the level of judgement the candidate has actually exercised.</w:t>
      </w:r>
    </w:p>
    <w:p w14:paraId="29860679" w14:textId="77777777" w:rsidR="003E309C" w:rsidRPr="007D65C0" w:rsidRDefault="003E309C" w:rsidP="008F7E2D">
      <w:pPr>
        <w:rPr>
          <w:rFonts w:ascii="Univers" w:eastAsia="Open Sans" w:hAnsi="Univers" w:cs="Open Sans"/>
          <w:sz w:val="20"/>
          <w:szCs w:val="20"/>
        </w:rPr>
      </w:pPr>
    </w:p>
    <w:p w14:paraId="2986067A"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Executive Coaching is intended to extend this support to more senior transitions: movement into portfolio management, leadership of a research function, or Fellowship-level recognition within institutions or regulatory bodies. Coaching engagements will be structured around the specific demands of these transitions, including how to present a track record of independent judgement, how to navigate conflicts inherent to senior analytical roles, and how to articulate a professional philosophy consistent with the ethical standards the Society expects of its Fellows.</w:t>
      </w:r>
    </w:p>
    <w:p w14:paraId="2986067B" w14:textId="77777777" w:rsidR="003E309C" w:rsidRPr="007D65C0" w:rsidRDefault="003E309C" w:rsidP="008F7E2D">
      <w:pPr>
        <w:rPr>
          <w:rFonts w:ascii="Univers" w:eastAsia="Open Sans" w:hAnsi="Univers" w:cs="Open Sans"/>
          <w:sz w:val="20"/>
          <w:szCs w:val="20"/>
        </w:rPr>
      </w:pPr>
    </w:p>
    <w:p w14:paraId="2986067C"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Both services are intended to be available on a confidential basis and calibrated to the member's grade and career stage. Associates are expected typically to engage Resume Review as they prepare for early-career transitions; full Members and Fellows are expected more often to use Executive Coaching in the context of leadership appointments or institutional moves where reputational precision matters.</w:t>
      </w:r>
    </w:p>
    <w:p w14:paraId="2986067D" w14:textId="77777777" w:rsidR="003E309C" w:rsidRPr="007D65C0" w:rsidRDefault="003E309C" w:rsidP="008F7E2D">
      <w:pPr>
        <w:rPr>
          <w:rFonts w:ascii="Univers" w:eastAsia="Open Sans" w:hAnsi="Univers" w:cs="Open Sans"/>
          <w:sz w:val="20"/>
          <w:szCs w:val="20"/>
        </w:rPr>
      </w:pPr>
    </w:p>
    <w:p w14:paraId="2986067E"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These planned services reflect a broader conviction: that a profession built on independent judgement should extend the same rigour to how its members present themselves professionally. The Society does not intend to offer generic career services, but the perspective of practitioners who understand exactly what employers in this field are evaluating.</w:t>
      </w:r>
    </w:p>
    <w:p w14:paraId="2986067F" w14:textId="77777777" w:rsidR="003E309C" w:rsidRPr="007D65C0" w:rsidRDefault="003E309C" w:rsidP="008F7E2D">
      <w:pPr>
        <w:rPr>
          <w:rFonts w:ascii="Univers" w:eastAsia="Open Sans" w:hAnsi="Univers" w:cs="Open Sans"/>
          <w:sz w:val="20"/>
          <w:szCs w:val="20"/>
        </w:rPr>
      </w:pPr>
    </w:p>
    <w:p w14:paraId="29860680" w14:textId="77777777" w:rsidR="003E309C" w:rsidRPr="007D65C0" w:rsidRDefault="00000000" w:rsidP="008F7E2D">
      <w:pPr>
        <w:rPr>
          <w:rFonts w:ascii="Univers" w:eastAsia="Open Sans" w:hAnsi="Univers" w:cs="Open Sans"/>
          <w:b/>
          <w:bCs/>
          <w:sz w:val="24"/>
          <w:szCs w:val="24"/>
        </w:rPr>
      </w:pPr>
      <w:r w:rsidRPr="007D65C0">
        <w:rPr>
          <w:rFonts w:ascii="Univers" w:eastAsia="Open Sans" w:hAnsi="Univers" w:cs="Open Sans"/>
          <w:b/>
          <w:bCs/>
          <w:sz w:val="24"/>
          <w:szCs w:val="24"/>
        </w:rPr>
        <w:t>Internship &amp; Fellowship Grants</w:t>
      </w:r>
    </w:p>
    <w:p w14:paraId="29860681" w14:textId="77777777" w:rsidR="003E309C" w:rsidRPr="007D65C0" w:rsidRDefault="003E309C" w:rsidP="008F7E2D">
      <w:pPr>
        <w:rPr>
          <w:rFonts w:ascii="Univers" w:eastAsia="Open Sans" w:hAnsi="Univers" w:cs="Open Sans"/>
          <w:sz w:val="20"/>
          <w:szCs w:val="20"/>
        </w:rPr>
      </w:pPr>
    </w:p>
    <w:p w14:paraId="29860682"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 xml:space="preserve">The Society's planned Internship &amp; Fellowship Grants program is intended to address a structural reality of the profession: rigorous analytical training requires early exposure to real research responsibilities, and that exposure is not equally accessible to all candidates with the aptitude to benefit from it. The program is being developed to provide funding to support internship placements and research fellowships for candidates who demonstrate strong </w:t>
      </w:r>
      <w:r w:rsidRPr="007D65C0">
        <w:rPr>
          <w:rFonts w:ascii="Univers" w:eastAsia="Open Sans" w:hAnsi="Univers" w:cs="Open Sans"/>
          <w:sz w:val="20"/>
          <w:szCs w:val="20"/>
        </w:rPr>
        <w:lastRenderedPageBreak/>
        <w:t>analytical potential but face financial constraints that would otherwise limit their entry into the field.</w:t>
      </w:r>
    </w:p>
    <w:p w14:paraId="29860683" w14:textId="77777777" w:rsidR="003E309C" w:rsidRPr="007D65C0" w:rsidRDefault="003E309C" w:rsidP="008F7E2D">
      <w:pPr>
        <w:rPr>
          <w:rFonts w:ascii="Univers" w:eastAsia="Open Sans" w:hAnsi="Univers" w:cs="Open Sans"/>
          <w:sz w:val="20"/>
          <w:szCs w:val="20"/>
        </w:rPr>
      </w:pPr>
    </w:p>
    <w:p w14:paraId="29860684"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Grants are intended to be administered in partnership with the Society's academic affiliates and, where relevant, Employer Partners willing to host funded placements, once these relationships are established. Recipients will be selected through a competitive process assessing academic performance, demonstrated analytical aptitude and a candidate's articulated understanding of the ethical responsibilities the profession carries — not merely financial need in isolation. The Society intends to be deliberate about this balance: the program is meant to widen access to genuine talent, not to lower the threshold of expectation placed on participants.</w:t>
      </w:r>
    </w:p>
    <w:p w14:paraId="29860685" w14:textId="77777777" w:rsidR="003E309C" w:rsidRPr="007D65C0" w:rsidRDefault="003E309C" w:rsidP="008F7E2D">
      <w:pPr>
        <w:rPr>
          <w:rFonts w:ascii="Univers" w:eastAsia="Open Sans" w:hAnsi="Univers" w:cs="Open Sans"/>
          <w:sz w:val="20"/>
          <w:szCs w:val="20"/>
        </w:rPr>
      </w:pPr>
    </w:p>
    <w:p w14:paraId="29860686"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Internship grants are intended typically to support undergraduate and postgraduate candidates undertaking placements with research houses, asset managers or institutional investors affiliated with the Society's academic or employer partnership networks, once established. Fellowship grants, distinct from Society Fellowship membership, are intended to support more advanced research undertakings — potentially connected to work published through the future International Journal of Equity Analysis or contributing to the Society's planned white paper series — and would typically be awarded to candidates further along in their academic or early professional development.</w:t>
      </w:r>
    </w:p>
    <w:p w14:paraId="29860687" w14:textId="77777777" w:rsidR="003E309C" w:rsidRPr="007D65C0" w:rsidRDefault="003E309C" w:rsidP="008F7E2D">
      <w:pPr>
        <w:rPr>
          <w:rFonts w:ascii="Univers" w:eastAsia="Open Sans" w:hAnsi="Univers" w:cs="Open Sans"/>
          <w:sz w:val="20"/>
          <w:szCs w:val="20"/>
        </w:rPr>
      </w:pPr>
    </w:p>
    <w:p w14:paraId="29860688"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Recipients will be expected to engage seriously with the placement or research undertaking funded, including adherence to the same ethical expectations that govern the Society's membership more broadly. This is intended to be treated as a formative introduction to professional standards, not merely a financial subsidy.</w:t>
      </w:r>
    </w:p>
    <w:p w14:paraId="29860689" w14:textId="77777777" w:rsidR="003E309C" w:rsidRPr="007D65C0" w:rsidRDefault="003E309C" w:rsidP="008F7E2D">
      <w:pPr>
        <w:rPr>
          <w:rFonts w:ascii="Univers" w:eastAsia="Open Sans" w:hAnsi="Univers" w:cs="Open Sans"/>
          <w:sz w:val="20"/>
          <w:szCs w:val="20"/>
        </w:rPr>
      </w:pPr>
    </w:p>
    <w:p w14:paraId="2986068A" w14:textId="77777777" w:rsidR="003E309C" w:rsidRPr="007D65C0" w:rsidRDefault="00000000" w:rsidP="008F7E2D">
      <w:pPr>
        <w:rPr>
          <w:rFonts w:ascii="Univers" w:eastAsia="Open Sans" w:hAnsi="Univers" w:cs="Open Sans"/>
          <w:sz w:val="20"/>
          <w:szCs w:val="20"/>
        </w:rPr>
      </w:pPr>
      <w:r w:rsidRPr="007D65C0">
        <w:rPr>
          <w:rFonts w:ascii="Univers" w:eastAsia="Open Sans" w:hAnsi="Univers" w:cs="Open Sans"/>
          <w:sz w:val="20"/>
          <w:szCs w:val="20"/>
        </w:rPr>
        <w:t>For prospective members and early-career analysts, the planned grants program reflects the Society's view that access to the profession should be determined by aptitude and integrity, not solely by financial circumstance — while ensuring that those admitted through this pathway will be held, from the outset, to the same standard as every other member.</w:t>
      </w:r>
    </w:p>
    <w:p w14:paraId="2986068B" w14:textId="77777777" w:rsidR="003E309C" w:rsidRPr="007D65C0" w:rsidRDefault="003E309C" w:rsidP="008F7E2D">
      <w:pPr>
        <w:rPr>
          <w:rFonts w:ascii="Univers" w:eastAsia="Open Sans" w:hAnsi="Univers" w:cs="Open Sans"/>
          <w:sz w:val="20"/>
          <w:szCs w:val="20"/>
        </w:rPr>
      </w:pPr>
    </w:p>
    <w:sectPr w:rsidR="003E309C" w:rsidRPr="007D65C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C9ED8B81-2BA2-4754-9A3F-AC97F1A52420}"/>
    <w:embedBold r:id="rId2" w:fontKey="{BC7DAD7E-DF0D-4FE2-9682-75B67325D52B}"/>
    <w:embedItalic r:id="rId3" w:fontKey="{6554C21F-D506-49A2-8EEF-B46319D1425D}"/>
  </w:font>
  <w:font w:name="Play">
    <w:charset w:val="00"/>
    <w:family w:val="auto"/>
    <w:pitch w:val="default"/>
    <w:embedRegular r:id="rId4" w:fontKey="{FB1F79B4-7DE2-4441-B207-2DFE22A47AC6}"/>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5" w:fontKey="{328C0798-EFA0-44BF-BC24-A5DAA429F066}"/>
    <w:embedBold r:id="rId6" w:fontKey="{567BD140-AEE5-45A6-AC90-2144713C22CE}"/>
  </w:font>
  <w:font w:name="Open Sans">
    <w:charset w:val="00"/>
    <w:family w:val="swiss"/>
    <w:pitch w:val="variable"/>
    <w:sig w:usb0="E00002EF" w:usb1="4000205B" w:usb2="00000028" w:usb3="00000000" w:csb0="0000019F" w:csb1="00000000"/>
    <w:embedRegular r:id="rId7" w:fontKey="{E0C4B14F-B5D0-498D-957D-46174DD0A649}"/>
    <w:embedBold r:id="rId8" w:fontKey="{167A75EC-8423-4B06-86E3-AFB97DF017C7}"/>
  </w:font>
  <w:font w:name="Calibri">
    <w:panose1 w:val="020F0502020204030204"/>
    <w:charset w:val="00"/>
    <w:family w:val="swiss"/>
    <w:pitch w:val="variable"/>
    <w:sig w:usb0="E4002EFF" w:usb1="C200247B" w:usb2="00000009" w:usb3="00000000" w:csb0="000001FF" w:csb1="00000000"/>
    <w:embedRegular r:id="rId9" w:fontKey="{C4DA0A19-237F-4D96-890A-5F12C1FB1CDE}"/>
  </w:font>
  <w:font w:name="Cambria">
    <w:panose1 w:val="02040503050406030204"/>
    <w:charset w:val="00"/>
    <w:family w:val="roman"/>
    <w:pitch w:val="variable"/>
    <w:sig w:usb0="E00006FF" w:usb1="420024FF" w:usb2="02000000" w:usb3="00000000" w:csb0="0000019F" w:csb1="00000000"/>
    <w:embedRegular r:id="rId10" w:fontKey="{D754C9E3-DC81-485F-8718-E0E1C850CA6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09C"/>
    <w:rsid w:val="003E309C"/>
    <w:rsid w:val="004B2836"/>
    <w:rsid w:val="007D65C0"/>
    <w:rsid w:val="008905EF"/>
    <w:rsid w:val="008F7E2D"/>
    <w:rsid w:val="00CB1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0648"/>
  <w15:docId w15:val="{D1D9B3A2-FAB8-4D79-B457-B88D1D0CD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EmHknJraLFNs4gQnsWRfTHYn1w==">CgMxLjA4AHIhMWx4Y01pNkNJNUxsQkgzdEllZzhKTjZHc1pZOXV0VzFa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1874</Words>
  <Characters>11550</Characters>
  <Application>Microsoft Office Word</Application>
  <DocSecurity>0</DocSecurity>
  <Lines>199</Lines>
  <Paragraphs>41</Paragraphs>
  <ScaleCrop>false</ScaleCrop>
  <Company/>
  <LinksUpToDate>false</LinksUpToDate>
  <CharactersWithSpaces>13383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Nuraena Abad</cp:lastModifiedBy>
  <cp:revision>4</cp:revision>
  <dcterms:created xsi:type="dcterms:W3CDTF">2026-07-20T07:30:00Z</dcterms:created>
  <dcterms:modified xsi:type="dcterms:W3CDTF">2026-07-20T15:16:00Z</dcterms:modified>
</cp:coreProperties>
</file>