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86C1C" w14:textId="1D1B091F" w:rsidR="00A41A35" w:rsidRPr="00E174E1" w:rsidRDefault="008867FB" w:rsidP="008867FB">
      <w:pPr>
        <w:jc w:val="center"/>
        <w:rPr>
          <w:rFonts w:ascii="Univers" w:hAnsi="Univers"/>
          <w:b/>
          <w:bCs/>
          <w:sz w:val="24"/>
          <w:szCs w:val="24"/>
        </w:rPr>
      </w:pPr>
      <w:r w:rsidRPr="00E174E1">
        <w:rPr>
          <w:rFonts w:ascii="Univers" w:hAnsi="Univers"/>
          <w:b/>
          <w:bCs/>
          <w:sz w:val="24"/>
          <w:szCs w:val="24"/>
        </w:rPr>
        <w:t>GOVERNANCE DOCUMENTS</w:t>
      </w:r>
    </w:p>
    <w:p w14:paraId="0AA74A5C" w14:textId="77777777" w:rsidR="008867FB" w:rsidRPr="00D26435" w:rsidRDefault="008867FB">
      <w:pPr>
        <w:rPr>
          <w:rFonts w:ascii="Univers" w:hAnsi="Univers"/>
          <w:sz w:val="20"/>
          <w:szCs w:val="20"/>
        </w:rPr>
      </w:pPr>
    </w:p>
    <w:p w14:paraId="742FCBF9" w14:textId="77777777" w:rsidR="008867FB" w:rsidRPr="00D26435" w:rsidRDefault="008867FB">
      <w:pPr>
        <w:rPr>
          <w:rFonts w:ascii="Univers" w:hAnsi="Univers"/>
          <w:sz w:val="20"/>
          <w:szCs w:val="20"/>
        </w:rPr>
      </w:pPr>
    </w:p>
    <w:p w14:paraId="7931CB99" w14:textId="77777777" w:rsidR="00C5006A" w:rsidRPr="00D26435" w:rsidRDefault="00C5006A" w:rsidP="00C5006A">
      <w:pPr>
        <w:rPr>
          <w:rFonts w:ascii="Univers" w:hAnsi="Univers"/>
          <w:sz w:val="20"/>
          <w:szCs w:val="20"/>
        </w:rPr>
      </w:pPr>
      <w:r w:rsidRPr="00D26435">
        <w:rPr>
          <w:rFonts w:ascii="Univers" w:hAnsi="Univers"/>
          <w:sz w:val="20"/>
          <w:szCs w:val="20"/>
        </w:rPr>
        <w:t>The World Economic Chamber’s governance documents form the institutional architecture through which the organisation exercises its responsibilities. They provide the structure, discipline and procedural clarity expected of an institution that engages with multinational organisations, public bodies and cross</w:t>
      </w:r>
      <w:r w:rsidRPr="00D26435">
        <w:rPr>
          <w:rFonts w:ascii="Cambria Math" w:hAnsi="Cambria Math" w:cs="Cambria Math"/>
          <w:sz w:val="20"/>
          <w:szCs w:val="20"/>
        </w:rPr>
        <w:t>‑</w:t>
      </w:r>
      <w:r w:rsidRPr="00D26435">
        <w:rPr>
          <w:rFonts w:ascii="Univers" w:hAnsi="Univers"/>
          <w:sz w:val="20"/>
          <w:szCs w:val="20"/>
        </w:rPr>
        <w:t>border commercial interests. These documents ensure that the Chamber</w:t>
      </w:r>
      <w:r w:rsidRPr="00D26435">
        <w:rPr>
          <w:rFonts w:ascii="Univers" w:hAnsi="Univers" w:cs="Aptos"/>
          <w:sz w:val="20"/>
          <w:szCs w:val="20"/>
        </w:rPr>
        <w:t>’</w:t>
      </w:r>
      <w:r w:rsidRPr="00D26435">
        <w:rPr>
          <w:rFonts w:ascii="Univers" w:hAnsi="Univers"/>
          <w:sz w:val="20"/>
          <w:szCs w:val="20"/>
        </w:rPr>
        <w:t>s work is conducted with consistency, independence and respect for the regulatory environments in which members operate. They also establish the standards that guide internal decision</w:t>
      </w:r>
      <w:r w:rsidRPr="00D26435">
        <w:rPr>
          <w:rFonts w:ascii="Cambria Math" w:hAnsi="Cambria Math" w:cs="Cambria Math"/>
          <w:sz w:val="20"/>
          <w:szCs w:val="20"/>
        </w:rPr>
        <w:t>‑</w:t>
      </w:r>
      <w:r w:rsidRPr="00D26435">
        <w:rPr>
          <w:rFonts w:ascii="Univers" w:hAnsi="Univers"/>
          <w:sz w:val="20"/>
          <w:szCs w:val="20"/>
        </w:rPr>
        <w:t>making, member conduct and the administration of programs and initiatives.</w:t>
      </w:r>
    </w:p>
    <w:p w14:paraId="065C9556" w14:textId="77777777" w:rsidR="00C5006A" w:rsidRPr="00D26435" w:rsidRDefault="00C5006A" w:rsidP="00C5006A">
      <w:pPr>
        <w:rPr>
          <w:rFonts w:ascii="Univers" w:hAnsi="Univers"/>
          <w:sz w:val="20"/>
          <w:szCs w:val="20"/>
        </w:rPr>
      </w:pPr>
    </w:p>
    <w:p w14:paraId="514392F9" w14:textId="1D69346E" w:rsidR="00C5006A" w:rsidRPr="00D26435" w:rsidRDefault="00C5006A" w:rsidP="00C5006A">
      <w:pPr>
        <w:rPr>
          <w:rFonts w:ascii="Univers" w:hAnsi="Univers"/>
          <w:sz w:val="20"/>
          <w:szCs w:val="20"/>
        </w:rPr>
      </w:pPr>
      <w:r w:rsidRPr="00D26435">
        <w:rPr>
          <w:rFonts w:ascii="Univers" w:hAnsi="Univers"/>
          <w:sz w:val="20"/>
          <w:szCs w:val="20"/>
        </w:rPr>
        <w:t>The governance documents serve as the operational expression of the Chamber’s founding principles. They define how authority is exercised, how oversight is maintained and how institutional safeguards are applied to protect the Chamber’s neutrality and credibility. For members, they offer assurance that the organisation functions under well</w:t>
      </w:r>
      <w:r w:rsidRPr="00D26435">
        <w:rPr>
          <w:rFonts w:ascii="Cambria Math" w:hAnsi="Cambria Math" w:cs="Cambria Math"/>
          <w:sz w:val="20"/>
          <w:szCs w:val="20"/>
        </w:rPr>
        <w:t>‑</w:t>
      </w:r>
      <w:r w:rsidRPr="00D26435">
        <w:rPr>
          <w:rFonts w:ascii="Univers" w:hAnsi="Univers"/>
          <w:sz w:val="20"/>
          <w:szCs w:val="20"/>
        </w:rPr>
        <w:t>defined rules rather than discretion, and that its engagement in international economic matters is grounded in professionalism, transparency and long</w:t>
      </w:r>
      <w:r w:rsidRPr="00D26435">
        <w:rPr>
          <w:rFonts w:ascii="Cambria Math" w:hAnsi="Cambria Math" w:cs="Cambria Math"/>
          <w:sz w:val="20"/>
          <w:szCs w:val="20"/>
        </w:rPr>
        <w:t>‑</w:t>
      </w:r>
      <w:r w:rsidRPr="00D26435">
        <w:rPr>
          <w:rFonts w:ascii="Univers" w:hAnsi="Univers"/>
          <w:sz w:val="20"/>
          <w:szCs w:val="20"/>
        </w:rPr>
        <w:t>term responsibility.</w:t>
      </w:r>
    </w:p>
    <w:p w14:paraId="0B94DE22" w14:textId="77777777" w:rsidR="00C5006A" w:rsidRPr="00D26435" w:rsidRDefault="00C5006A">
      <w:pPr>
        <w:rPr>
          <w:rFonts w:ascii="Univers" w:hAnsi="Univers"/>
          <w:sz w:val="20"/>
          <w:szCs w:val="20"/>
        </w:rPr>
      </w:pPr>
    </w:p>
    <w:p w14:paraId="59E1D59F" w14:textId="77777777" w:rsidR="00C946E7" w:rsidRPr="00ED53C2" w:rsidRDefault="00C946E7" w:rsidP="00C946E7">
      <w:pPr>
        <w:rPr>
          <w:rFonts w:ascii="Univers" w:hAnsi="Univers"/>
          <w:b/>
          <w:bCs/>
          <w:sz w:val="24"/>
          <w:szCs w:val="24"/>
        </w:rPr>
      </w:pPr>
      <w:r w:rsidRPr="00ED53C2">
        <w:rPr>
          <w:rFonts w:ascii="Univers" w:hAnsi="Univers"/>
          <w:b/>
          <w:bCs/>
          <w:sz w:val="24"/>
          <w:szCs w:val="24"/>
        </w:rPr>
        <w:t>Governance Framework &amp; Decision</w:t>
      </w:r>
      <w:r w:rsidRPr="00ED53C2">
        <w:rPr>
          <w:rFonts w:ascii="Cambria Math" w:hAnsi="Cambria Math" w:cs="Cambria Math"/>
          <w:b/>
          <w:bCs/>
          <w:sz w:val="24"/>
          <w:szCs w:val="24"/>
        </w:rPr>
        <w:t>‑</w:t>
      </w:r>
      <w:r w:rsidRPr="00ED53C2">
        <w:rPr>
          <w:rFonts w:ascii="Univers" w:hAnsi="Univers"/>
          <w:b/>
          <w:bCs/>
          <w:sz w:val="24"/>
          <w:szCs w:val="24"/>
        </w:rPr>
        <w:t xml:space="preserve">Making Protocols  </w:t>
      </w:r>
    </w:p>
    <w:p w14:paraId="19CA78A4" w14:textId="77777777" w:rsidR="00C946E7" w:rsidRPr="00D26435" w:rsidRDefault="00C946E7" w:rsidP="00C946E7">
      <w:pPr>
        <w:rPr>
          <w:rFonts w:ascii="Univers" w:hAnsi="Univers"/>
          <w:sz w:val="20"/>
          <w:szCs w:val="20"/>
        </w:rPr>
      </w:pPr>
    </w:p>
    <w:p w14:paraId="0EC2EE5D" w14:textId="58BB7AAD" w:rsidR="00CF40CF" w:rsidRPr="00D26435" w:rsidRDefault="00CF40CF" w:rsidP="00C946E7">
      <w:pPr>
        <w:rPr>
          <w:rFonts w:ascii="Univers" w:hAnsi="Univers"/>
          <w:sz w:val="20"/>
          <w:szCs w:val="20"/>
        </w:rPr>
      </w:pPr>
      <w:r w:rsidRPr="00D26435">
        <w:rPr>
          <w:rFonts w:ascii="Univers" w:hAnsi="Univers"/>
          <w:sz w:val="20"/>
          <w:szCs w:val="20"/>
        </w:rPr>
        <w:t>The Governance Framework &amp; Decision</w:t>
      </w:r>
      <w:r w:rsidRPr="00D26435">
        <w:rPr>
          <w:rFonts w:ascii="Cambria Math" w:hAnsi="Cambria Math" w:cs="Cambria Math"/>
          <w:sz w:val="20"/>
          <w:szCs w:val="20"/>
        </w:rPr>
        <w:t>‑</w:t>
      </w:r>
      <w:r w:rsidRPr="00D26435">
        <w:rPr>
          <w:rFonts w:ascii="Univers" w:hAnsi="Univers"/>
          <w:sz w:val="20"/>
          <w:szCs w:val="20"/>
        </w:rPr>
        <w:t>Making Protocols define how the World Economic Chamber exercises authority, maintains oversight and makes institutional decisions. They establish the structures, responsibilities and procedural pathways that ensure governance is disciplined, transparent and aligned with the Chamber’s founding principles. These protocols provide the foundation for consistent decision</w:t>
      </w:r>
      <w:r w:rsidRPr="00D26435">
        <w:rPr>
          <w:rFonts w:ascii="Cambria Math" w:hAnsi="Cambria Math" w:cs="Cambria Math"/>
          <w:sz w:val="20"/>
          <w:szCs w:val="20"/>
        </w:rPr>
        <w:t>‑</w:t>
      </w:r>
      <w:r w:rsidRPr="00D26435">
        <w:rPr>
          <w:rFonts w:ascii="Univers" w:hAnsi="Univers"/>
          <w:sz w:val="20"/>
          <w:szCs w:val="20"/>
        </w:rPr>
        <w:t>making across jurisdictions, helping the organisation operate with professionalism, neutrality and institutional coherence.</w:t>
      </w:r>
    </w:p>
    <w:p w14:paraId="60678812" w14:textId="77777777" w:rsidR="00CF40CF" w:rsidRPr="00D26435" w:rsidRDefault="00CF40CF" w:rsidP="00C946E7">
      <w:pPr>
        <w:rPr>
          <w:rFonts w:ascii="Univers" w:hAnsi="Univers"/>
          <w:sz w:val="20"/>
          <w:szCs w:val="20"/>
        </w:rPr>
      </w:pPr>
    </w:p>
    <w:p w14:paraId="2C551D36" w14:textId="77777777" w:rsidR="000D3EDE" w:rsidRPr="00D26435" w:rsidRDefault="000D3EDE" w:rsidP="000D3EDE">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Governance Architecture &amp; Institutional Roles</w:t>
      </w:r>
    </w:p>
    <w:p w14:paraId="4209C7D6" w14:textId="77777777" w:rsidR="000D3EDE" w:rsidRPr="00D26435" w:rsidRDefault="000D3EDE" w:rsidP="000D3EDE">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Decision</w:t>
      </w:r>
      <w:r w:rsidRPr="00D26435">
        <w:rPr>
          <w:rFonts w:ascii="Cambria Math" w:hAnsi="Cambria Math" w:cs="Cambria Math"/>
          <w:sz w:val="20"/>
          <w:szCs w:val="20"/>
        </w:rPr>
        <w:t>‑</w:t>
      </w:r>
      <w:r w:rsidRPr="00D26435">
        <w:rPr>
          <w:rFonts w:ascii="Univers" w:hAnsi="Univers"/>
          <w:sz w:val="20"/>
          <w:szCs w:val="20"/>
        </w:rPr>
        <w:t>Making Procedures &amp; Approval Pathways</w:t>
      </w:r>
    </w:p>
    <w:p w14:paraId="56C80415" w14:textId="3BD00156" w:rsidR="00CF40CF" w:rsidRPr="00D26435" w:rsidRDefault="000D3EDE" w:rsidP="006F1719">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Oversight Responsibilities &amp; Accountability Standards</w:t>
      </w:r>
    </w:p>
    <w:p w14:paraId="42D38C56" w14:textId="77777777" w:rsidR="00C946E7" w:rsidRPr="00D26435" w:rsidRDefault="00C946E7" w:rsidP="00C946E7">
      <w:pPr>
        <w:rPr>
          <w:rFonts w:ascii="Univers" w:hAnsi="Univers"/>
          <w:sz w:val="20"/>
          <w:szCs w:val="20"/>
        </w:rPr>
      </w:pPr>
    </w:p>
    <w:p w14:paraId="47CD139F" w14:textId="0782DFE2" w:rsidR="00C946E7" w:rsidRPr="00ED53C2" w:rsidRDefault="00C946E7" w:rsidP="00C946E7">
      <w:pPr>
        <w:rPr>
          <w:rFonts w:ascii="Univers" w:hAnsi="Univers"/>
          <w:b/>
          <w:bCs/>
          <w:sz w:val="24"/>
          <w:szCs w:val="24"/>
        </w:rPr>
      </w:pPr>
      <w:r w:rsidRPr="00ED53C2">
        <w:rPr>
          <w:rFonts w:ascii="Univers" w:hAnsi="Univers"/>
          <w:b/>
          <w:bCs/>
          <w:sz w:val="24"/>
          <w:szCs w:val="24"/>
        </w:rPr>
        <w:t xml:space="preserve">Leadership &amp; Secretariat Oversight Procedures  </w:t>
      </w:r>
    </w:p>
    <w:p w14:paraId="5ECFF91A" w14:textId="77777777" w:rsidR="00C946E7" w:rsidRPr="00D26435" w:rsidRDefault="00C946E7" w:rsidP="00C946E7">
      <w:pPr>
        <w:rPr>
          <w:rFonts w:ascii="Univers" w:hAnsi="Univers"/>
          <w:sz w:val="20"/>
          <w:szCs w:val="20"/>
        </w:rPr>
      </w:pPr>
    </w:p>
    <w:p w14:paraId="666D8725" w14:textId="25DCA79E" w:rsidR="00E93217" w:rsidRPr="00D26435" w:rsidRDefault="00225CE0" w:rsidP="00E93217">
      <w:pPr>
        <w:rPr>
          <w:rFonts w:ascii="Univers" w:hAnsi="Univers"/>
          <w:sz w:val="20"/>
          <w:szCs w:val="20"/>
        </w:rPr>
      </w:pPr>
      <w:r w:rsidRPr="00D26435">
        <w:rPr>
          <w:rFonts w:ascii="Univers" w:hAnsi="Univers"/>
          <w:sz w:val="20"/>
          <w:szCs w:val="20"/>
        </w:rPr>
        <w:t>The Leadership &amp; Secretariat Oversight Procedures outline how the Chamber’s senior leadership and Executive Secretariat coordinate responsibilities, maintain discipline and ensure consistent execution of the organisation’s mandate. They define the structures through which strategic direction, administrative management and oversight are carried out, providing clear roles, decision pathways and accountability expectations. These procedures help the Chamber operate coherently across jurisdictions and keep leadership actions aligned with its principles and long</w:t>
      </w:r>
      <w:r w:rsidRPr="00D26435">
        <w:rPr>
          <w:rFonts w:ascii="Cambria Math" w:hAnsi="Cambria Math" w:cs="Cambria Math"/>
          <w:sz w:val="20"/>
          <w:szCs w:val="20"/>
        </w:rPr>
        <w:t>‑</w:t>
      </w:r>
      <w:r w:rsidRPr="00D26435">
        <w:rPr>
          <w:rFonts w:ascii="Univers" w:hAnsi="Univers"/>
          <w:sz w:val="20"/>
          <w:szCs w:val="20"/>
        </w:rPr>
        <w:t>term responsibilities.</w:t>
      </w:r>
    </w:p>
    <w:p w14:paraId="158D1BE8" w14:textId="77777777" w:rsidR="00225CE0" w:rsidRPr="00D26435" w:rsidRDefault="00225CE0" w:rsidP="00E93217">
      <w:pPr>
        <w:rPr>
          <w:rFonts w:ascii="Univers" w:hAnsi="Univers"/>
          <w:sz w:val="20"/>
          <w:szCs w:val="20"/>
        </w:rPr>
      </w:pPr>
    </w:p>
    <w:p w14:paraId="70C5631F" w14:textId="26DF04E5" w:rsidR="00E93217" w:rsidRPr="00D26435" w:rsidRDefault="00E93217" w:rsidP="000D3EDE">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Leadership Responsibilities &amp; Governance Oversight Standards</w:t>
      </w:r>
    </w:p>
    <w:p w14:paraId="2F17AA00" w14:textId="3109327B" w:rsidR="00E93217" w:rsidRPr="00D26435" w:rsidRDefault="00E93217" w:rsidP="000D3EDE">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Executive Secretariat Operational Management Protocols</w:t>
      </w:r>
    </w:p>
    <w:p w14:paraId="1B10E7BA" w14:textId="12EA2578" w:rsidR="00E93217" w:rsidRPr="00D26435" w:rsidRDefault="00E93217" w:rsidP="000D3EDE">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Coordination &amp; Reporting Procedures Between Leadership and Secretariat</w:t>
      </w:r>
    </w:p>
    <w:p w14:paraId="12548533" w14:textId="2133BE26" w:rsidR="00E93217" w:rsidRPr="00D26435" w:rsidRDefault="00E93217" w:rsidP="000D3EDE">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Secretariat Documentation, Record</w:t>
      </w:r>
      <w:r w:rsidRPr="00D26435">
        <w:rPr>
          <w:rFonts w:ascii="Cambria Math" w:hAnsi="Cambria Math" w:cs="Cambria Math"/>
          <w:sz w:val="20"/>
          <w:szCs w:val="20"/>
        </w:rPr>
        <w:t>‑</w:t>
      </w:r>
      <w:r w:rsidRPr="00D26435">
        <w:rPr>
          <w:rFonts w:ascii="Univers" w:hAnsi="Univers"/>
          <w:sz w:val="20"/>
          <w:szCs w:val="20"/>
        </w:rPr>
        <w:t>Keeping &amp; Compliance Requirements</w:t>
      </w:r>
    </w:p>
    <w:p w14:paraId="333B9CF0" w14:textId="4F86A75B" w:rsidR="00C946E7" w:rsidRPr="00D26435" w:rsidRDefault="00E93217" w:rsidP="00225CE0">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Institutional Accountability &amp; Performance</w:t>
      </w:r>
      <w:r w:rsidRPr="00D26435">
        <w:rPr>
          <w:rFonts w:ascii="Cambria Math" w:hAnsi="Cambria Math" w:cs="Cambria Math"/>
          <w:sz w:val="20"/>
          <w:szCs w:val="20"/>
        </w:rPr>
        <w:t>‑</w:t>
      </w:r>
      <w:r w:rsidRPr="00D26435">
        <w:rPr>
          <w:rFonts w:ascii="Univers" w:hAnsi="Univers"/>
          <w:sz w:val="20"/>
          <w:szCs w:val="20"/>
        </w:rPr>
        <w:t>Monitoring Guidelines</w:t>
      </w:r>
    </w:p>
    <w:p w14:paraId="2CB7C1EA" w14:textId="77777777" w:rsidR="00E93217" w:rsidRPr="00D26435" w:rsidRDefault="00E93217" w:rsidP="00E93217">
      <w:pPr>
        <w:rPr>
          <w:rFonts w:ascii="Univers" w:hAnsi="Univers"/>
          <w:sz w:val="20"/>
          <w:szCs w:val="20"/>
        </w:rPr>
      </w:pPr>
    </w:p>
    <w:p w14:paraId="217692F4" w14:textId="6B944C2F" w:rsidR="00C946E7" w:rsidRPr="00ED53C2" w:rsidRDefault="00C946E7" w:rsidP="00C946E7">
      <w:pPr>
        <w:rPr>
          <w:rFonts w:ascii="Univers" w:hAnsi="Univers"/>
          <w:b/>
          <w:bCs/>
          <w:sz w:val="24"/>
          <w:szCs w:val="24"/>
        </w:rPr>
      </w:pPr>
      <w:r w:rsidRPr="00ED53C2">
        <w:rPr>
          <w:rFonts w:ascii="Univers" w:hAnsi="Univers"/>
          <w:b/>
          <w:bCs/>
          <w:sz w:val="24"/>
          <w:szCs w:val="24"/>
        </w:rPr>
        <w:t xml:space="preserve">Institutional Independence &amp; Neutrality Policy  </w:t>
      </w:r>
    </w:p>
    <w:p w14:paraId="6EF4EA85" w14:textId="77777777" w:rsidR="00ED53C2" w:rsidRDefault="00ED53C2" w:rsidP="00C946E7">
      <w:pPr>
        <w:rPr>
          <w:rFonts w:ascii="Univers" w:hAnsi="Univers"/>
          <w:sz w:val="20"/>
          <w:szCs w:val="20"/>
        </w:rPr>
      </w:pPr>
    </w:p>
    <w:p w14:paraId="59311994" w14:textId="3B9219CF" w:rsidR="00C946E7" w:rsidRPr="00D26435" w:rsidRDefault="00F27BB4" w:rsidP="00C946E7">
      <w:pPr>
        <w:rPr>
          <w:rFonts w:ascii="Univers" w:hAnsi="Univers"/>
          <w:sz w:val="20"/>
          <w:szCs w:val="20"/>
        </w:rPr>
      </w:pPr>
      <w:r w:rsidRPr="00D26435">
        <w:rPr>
          <w:rFonts w:ascii="Univers" w:hAnsi="Univers"/>
          <w:sz w:val="20"/>
          <w:szCs w:val="20"/>
        </w:rPr>
        <w:t>The Institutional Independence &amp; Neutrality Policy sets the standards that ensure the World Economic Chamber operates free from external pressure and maintains a strictly impartial posture across all jurisdictions. It defines the boundaries, conduct expectations and oversight mechanisms that protect the Chamber’s decision</w:t>
      </w:r>
      <w:r w:rsidRPr="00D26435">
        <w:rPr>
          <w:rFonts w:ascii="Cambria Math" w:hAnsi="Cambria Math" w:cs="Cambria Math"/>
          <w:sz w:val="20"/>
          <w:szCs w:val="20"/>
        </w:rPr>
        <w:t>‑</w:t>
      </w:r>
      <w:r w:rsidRPr="00D26435">
        <w:rPr>
          <w:rFonts w:ascii="Univers" w:hAnsi="Univers"/>
          <w:sz w:val="20"/>
          <w:szCs w:val="20"/>
        </w:rPr>
        <w:t>making from commercial, political or sector</w:t>
      </w:r>
      <w:r w:rsidRPr="00D26435">
        <w:rPr>
          <w:rFonts w:ascii="Cambria Math" w:hAnsi="Cambria Math" w:cs="Cambria Math"/>
          <w:sz w:val="20"/>
          <w:szCs w:val="20"/>
        </w:rPr>
        <w:t>‑</w:t>
      </w:r>
      <w:r w:rsidRPr="00D26435">
        <w:rPr>
          <w:rFonts w:ascii="Univers" w:hAnsi="Univers"/>
          <w:sz w:val="20"/>
          <w:szCs w:val="20"/>
        </w:rPr>
        <w:t xml:space="preserve">specific influence. By reinforcing disciplined neutrality and safeguarding institutional </w:t>
      </w:r>
      <w:r w:rsidRPr="00D26435">
        <w:rPr>
          <w:rFonts w:ascii="Univers" w:hAnsi="Univers"/>
          <w:sz w:val="20"/>
          <w:szCs w:val="20"/>
        </w:rPr>
        <w:lastRenderedPageBreak/>
        <w:t>autonomy, the policy helps preserve the credibility, stability and trust essential to the Chamber</w:t>
      </w:r>
      <w:r w:rsidRPr="00D26435">
        <w:rPr>
          <w:rFonts w:ascii="Univers" w:hAnsi="Univers" w:cs="Aptos"/>
          <w:sz w:val="20"/>
          <w:szCs w:val="20"/>
        </w:rPr>
        <w:t>’</w:t>
      </w:r>
      <w:r w:rsidRPr="00D26435">
        <w:rPr>
          <w:rFonts w:ascii="Univers" w:hAnsi="Univers"/>
          <w:sz w:val="20"/>
          <w:szCs w:val="20"/>
        </w:rPr>
        <w:t>s role in international economic engagement.</w:t>
      </w:r>
    </w:p>
    <w:p w14:paraId="55CE285A" w14:textId="77777777" w:rsidR="00F27BB4" w:rsidRPr="00D26435" w:rsidRDefault="00F27BB4" w:rsidP="00F27BB4">
      <w:pPr>
        <w:tabs>
          <w:tab w:val="left" w:pos="426"/>
        </w:tabs>
        <w:rPr>
          <w:rFonts w:ascii="Univers" w:hAnsi="Univers"/>
          <w:sz w:val="20"/>
          <w:szCs w:val="20"/>
        </w:rPr>
      </w:pPr>
    </w:p>
    <w:p w14:paraId="400F1684" w14:textId="31211BA6" w:rsidR="00F27BB4" w:rsidRPr="00D26435" w:rsidRDefault="00F27BB4" w:rsidP="00F27BB4">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 xml:space="preserve">Institutional Independence &amp; Neutrality Policy  </w:t>
      </w:r>
    </w:p>
    <w:p w14:paraId="194DA7F2" w14:textId="77777777" w:rsidR="00C946E7" w:rsidRPr="00D26435" w:rsidRDefault="00C946E7" w:rsidP="00C946E7">
      <w:pPr>
        <w:rPr>
          <w:rFonts w:ascii="Univers" w:hAnsi="Univers"/>
          <w:sz w:val="20"/>
          <w:szCs w:val="20"/>
        </w:rPr>
      </w:pPr>
    </w:p>
    <w:p w14:paraId="5CF06C76" w14:textId="4BAF25E5" w:rsidR="00C946E7" w:rsidRPr="00ED53C2" w:rsidRDefault="00C946E7" w:rsidP="00C946E7">
      <w:pPr>
        <w:rPr>
          <w:rFonts w:ascii="Univers" w:hAnsi="Univers"/>
          <w:b/>
          <w:bCs/>
          <w:sz w:val="24"/>
          <w:szCs w:val="24"/>
        </w:rPr>
      </w:pPr>
      <w:r w:rsidRPr="00ED53C2">
        <w:rPr>
          <w:rFonts w:ascii="Univers" w:hAnsi="Univers"/>
          <w:b/>
          <w:bCs/>
          <w:sz w:val="24"/>
          <w:szCs w:val="24"/>
        </w:rPr>
        <w:t xml:space="preserve">Regulatory Engagement Protocols  </w:t>
      </w:r>
    </w:p>
    <w:p w14:paraId="0FA9BBC6" w14:textId="77777777" w:rsidR="00C946E7" w:rsidRPr="00D26435" w:rsidRDefault="00C946E7" w:rsidP="00C946E7">
      <w:pPr>
        <w:rPr>
          <w:rFonts w:ascii="Univers" w:hAnsi="Univers"/>
          <w:sz w:val="20"/>
          <w:szCs w:val="20"/>
        </w:rPr>
      </w:pPr>
    </w:p>
    <w:p w14:paraId="169AA12E" w14:textId="77777777" w:rsidR="004F7A8D" w:rsidRPr="00D26435" w:rsidRDefault="004F7A8D" w:rsidP="004F7A8D">
      <w:pPr>
        <w:rPr>
          <w:rFonts w:ascii="Univers" w:hAnsi="Univers"/>
          <w:sz w:val="20"/>
          <w:szCs w:val="20"/>
        </w:rPr>
      </w:pPr>
      <w:r w:rsidRPr="00D26435">
        <w:rPr>
          <w:rFonts w:ascii="Univers" w:hAnsi="Univers"/>
          <w:sz w:val="20"/>
          <w:szCs w:val="20"/>
        </w:rPr>
        <w:t>The Regulatory Engagement Protocols set out how the World Economic Chamber interacts with domestic and international regulators in a structured, disciplined and neutral manner. They define the standards for communication, consultation and information</w:t>
      </w:r>
      <w:r w:rsidRPr="00D26435">
        <w:rPr>
          <w:rFonts w:ascii="Cambria Math" w:hAnsi="Cambria Math" w:cs="Cambria Math"/>
          <w:sz w:val="20"/>
          <w:szCs w:val="20"/>
        </w:rPr>
        <w:t>‑</w:t>
      </w:r>
      <w:r w:rsidRPr="00D26435">
        <w:rPr>
          <w:rFonts w:ascii="Univers" w:hAnsi="Univers"/>
          <w:sz w:val="20"/>
          <w:szCs w:val="20"/>
        </w:rPr>
        <w:t>sharing with regulatory bodies, ensuring that all engagement is accurate, consistent and aligned with jurisdictional expectations. By establishing clear procedures and conduct requirements, the protocols help the Chamber maintain credibility, support constructive regulatory dialogue and uphold its commitment to responsible cross</w:t>
      </w:r>
      <w:r w:rsidRPr="00D26435">
        <w:rPr>
          <w:rFonts w:ascii="Cambria Math" w:hAnsi="Cambria Math" w:cs="Cambria Math"/>
          <w:sz w:val="20"/>
          <w:szCs w:val="20"/>
        </w:rPr>
        <w:t>‑</w:t>
      </w:r>
      <w:r w:rsidRPr="00D26435">
        <w:rPr>
          <w:rFonts w:ascii="Univers" w:hAnsi="Univers"/>
          <w:sz w:val="20"/>
          <w:szCs w:val="20"/>
        </w:rPr>
        <w:t>border economic engagement.</w:t>
      </w:r>
    </w:p>
    <w:p w14:paraId="452610D7" w14:textId="77777777" w:rsidR="004F7A8D" w:rsidRPr="00D26435" w:rsidRDefault="004F7A8D" w:rsidP="004F7A8D">
      <w:pPr>
        <w:rPr>
          <w:rFonts w:ascii="Univers" w:hAnsi="Univers"/>
          <w:sz w:val="20"/>
          <w:szCs w:val="20"/>
        </w:rPr>
      </w:pPr>
    </w:p>
    <w:p w14:paraId="67BEF9C6" w14:textId="127684A7" w:rsidR="004F7A8D" w:rsidRPr="00D26435" w:rsidRDefault="004F7A8D" w:rsidP="004F7A8D">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Regulatory Engagement Standards</w:t>
      </w:r>
    </w:p>
    <w:p w14:paraId="08A1B556" w14:textId="5F34305A" w:rsidR="004F7A8D" w:rsidRPr="00D26435" w:rsidRDefault="004F7A8D" w:rsidP="004F7A8D">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Cross</w:t>
      </w:r>
      <w:r w:rsidRPr="00D26435">
        <w:rPr>
          <w:rFonts w:ascii="Cambria Math" w:hAnsi="Cambria Math" w:cs="Cambria Math"/>
          <w:sz w:val="20"/>
          <w:szCs w:val="20"/>
        </w:rPr>
        <w:t>‑</w:t>
      </w:r>
      <w:r w:rsidRPr="00D26435">
        <w:rPr>
          <w:rFonts w:ascii="Univers" w:hAnsi="Univers"/>
          <w:sz w:val="20"/>
          <w:szCs w:val="20"/>
        </w:rPr>
        <w:t>Jurisdictional Consultation &amp; Coordination Procedures</w:t>
      </w:r>
    </w:p>
    <w:p w14:paraId="7521D612" w14:textId="2FC43A9A" w:rsidR="004F7A8D" w:rsidRPr="00D26435" w:rsidRDefault="004F7A8D" w:rsidP="004F7A8D">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Regulatory Correspondence &amp; Information</w:t>
      </w:r>
      <w:r w:rsidRPr="00D26435">
        <w:rPr>
          <w:rFonts w:ascii="Cambria Math" w:hAnsi="Cambria Math" w:cs="Cambria Math"/>
          <w:sz w:val="20"/>
          <w:szCs w:val="20"/>
        </w:rPr>
        <w:t>‑</w:t>
      </w:r>
      <w:r w:rsidRPr="00D26435">
        <w:rPr>
          <w:rFonts w:ascii="Univers" w:hAnsi="Univers"/>
          <w:sz w:val="20"/>
          <w:szCs w:val="20"/>
        </w:rPr>
        <w:t>Handling Guidelines</w:t>
      </w:r>
    </w:p>
    <w:p w14:paraId="61AF9125" w14:textId="78EF10B5" w:rsidR="004F7A8D" w:rsidRPr="00D26435" w:rsidRDefault="004F7A8D" w:rsidP="004F7A8D">
      <w:pPr>
        <w:pStyle w:val="ListParagraph"/>
        <w:numPr>
          <w:ilvl w:val="0"/>
          <w:numId w:val="1"/>
        </w:numPr>
        <w:tabs>
          <w:tab w:val="left" w:pos="426"/>
        </w:tabs>
        <w:ind w:hanging="720"/>
        <w:rPr>
          <w:rFonts w:ascii="Univers" w:hAnsi="Univers"/>
          <w:sz w:val="20"/>
          <w:szCs w:val="20"/>
        </w:rPr>
      </w:pPr>
      <w:r w:rsidRPr="00D26435">
        <w:rPr>
          <w:rFonts w:ascii="Univers" w:hAnsi="Univers"/>
          <w:sz w:val="20"/>
          <w:szCs w:val="20"/>
        </w:rPr>
        <w:t>Regulatory Meeting &amp; Submission Protocols</w:t>
      </w:r>
    </w:p>
    <w:p w14:paraId="655DACE6" w14:textId="77777777" w:rsidR="00C946E7" w:rsidRPr="00D26435" w:rsidRDefault="00C946E7" w:rsidP="00C946E7">
      <w:pPr>
        <w:rPr>
          <w:rFonts w:ascii="Univers" w:hAnsi="Univers"/>
          <w:sz w:val="20"/>
          <w:szCs w:val="20"/>
        </w:rPr>
      </w:pPr>
    </w:p>
    <w:p w14:paraId="0E7DD232" w14:textId="7D9557FE" w:rsidR="00C946E7" w:rsidRPr="00ED53C2" w:rsidRDefault="00C946E7" w:rsidP="00C946E7">
      <w:pPr>
        <w:rPr>
          <w:rFonts w:ascii="Univers" w:hAnsi="Univers"/>
          <w:b/>
          <w:bCs/>
          <w:sz w:val="24"/>
          <w:szCs w:val="24"/>
        </w:rPr>
      </w:pPr>
      <w:r w:rsidRPr="00ED53C2">
        <w:rPr>
          <w:rFonts w:ascii="Univers" w:hAnsi="Univers"/>
          <w:b/>
          <w:bCs/>
          <w:sz w:val="24"/>
          <w:szCs w:val="24"/>
        </w:rPr>
        <w:t>Cross</w:t>
      </w:r>
      <w:r w:rsidRPr="00ED53C2">
        <w:rPr>
          <w:rFonts w:ascii="Cambria Math" w:hAnsi="Cambria Math" w:cs="Cambria Math"/>
          <w:b/>
          <w:bCs/>
          <w:sz w:val="24"/>
          <w:szCs w:val="24"/>
        </w:rPr>
        <w:t>‑</w:t>
      </w:r>
      <w:r w:rsidRPr="00ED53C2">
        <w:rPr>
          <w:rFonts w:ascii="Univers" w:hAnsi="Univers"/>
          <w:b/>
          <w:bCs/>
          <w:sz w:val="24"/>
          <w:szCs w:val="24"/>
        </w:rPr>
        <w:t xml:space="preserve">Border Engagement Procedures  </w:t>
      </w:r>
    </w:p>
    <w:p w14:paraId="153EDD54" w14:textId="77777777" w:rsidR="00C946E7" w:rsidRPr="00D26435" w:rsidRDefault="00C946E7" w:rsidP="00C946E7">
      <w:pPr>
        <w:rPr>
          <w:rFonts w:ascii="Univers" w:hAnsi="Univers"/>
          <w:sz w:val="20"/>
          <w:szCs w:val="20"/>
        </w:rPr>
      </w:pPr>
    </w:p>
    <w:p w14:paraId="536C8094" w14:textId="77777777" w:rsidR="00A16440" w:rsidRPr="00D26435" w:rsidRDefault="00A16440" w:rsidP="00A16440">
      <w:pPr>
        <w:rPr>
          <w:rFonts w:ascii="Univers" w:hAnsi="Univers"/>
          <w:sz w:val="20"/>
          <w:szCs w:val="20"/>
        </w:rPr>
      </w:pPr>
      <w:r w:rsidRPr="00D26435">
        <w:rPr>
          <w:rFonts w:ascii="Univers" w:hAnsi="Univers"/>
          <w:sz w:val="20"/>
          <w:szCs w:val="20"/>
        </w:rPr>
        <w:t>The Cross</w:t>
      </w:r>
      <w:r w:rsidRPr="00D26435">
        <w:rPr>
          <w:rFonts w:ascii="Cambria Math" w:hAnsi="Cambria Math" w:cs="Cambria Math"/>
          <w:sz w:val="20"/>
          <w:szCs w:val="20"/>
        </w:rPr>
        <w:t>‑</w:t>
      </w:r>
      <w:r w:rsidRPr="00D26435">
        <w:rPr>
          <w:rFonts w:ascii="Univers" w:hAnsi="Univers"/>
          <w:sz w:val="20"/>
          <w:szCs w:val="20"/>
        </w:rPr>
        <w:t>Border Engagement Procedures set out how the World Economic Chamber conducts structured, neutral and professionally disciplined engagement across jurisdictions. They define the standards for communication, coordination and participation in international activities, ensuring that all cross</w:t>
      </w:r>
      <w:r w:rsidRPr="00D26435">
        <w:rPr>
          <w:rFonts w:ascii="Cambria Math" w:hAnsi="Cambria Math" w:cs="Cambria Math"/>
          <w:sz w:val="20"/>
          <w:szCs w:val="20"/>
        </w:rPr>
        <w:t>‑</w:t>
      </w:r>
      <w:r w:rsidRPr="00D26435">
        <w:rPr>
          <w:rFonts w:ascii="Univers" w:hAnsi="Univers"/>
          <w:sz w:val="20"/>
          <w:szCs w:val="20"/>
        </w:rPr>
        <w:t>border interaction is consistent with regulatory expectations and aligned with the Chamber</w:t>
      </w:r>
      <w:r w:rsidRPr="00D26435">
        <w:rPr>
          <w:rFonts w:ascii="Univers" w:hAnsi="Univers" w:cs="Aptos"/>
          <w:sz w:val="20"/>
          <w:szCs w:val="20"/>
        </w:rPr>
        <w:t>’</w:t>
      </w:r>
      <w:r w:rsidRPr="00D26435">
        <w:rPr>
          <w:rFonts w:ascii="Univers" w:hAnsi="Univers"/>
          <w:sz w:val="20"/>
          <w:szCs w:val="20"/>
        </w:rPr>
        <w:t>s institutional principles. These procedures help maintain coherence, credibility and responsible conduct when members operate in diverse regulatory environments.</w:t>
      </w:r>
    </w:p>
    <w:p w14:paraId="048D90E6" w14:textId="77777777" w:rsidR="00A16440" w:rsidRPr="00D26435" w:rsidRDefault="00A16440" w:rsidP="00A16440">
      <w:pPr>
        <w:rPr>
          <w:rFonts w:ascii="Univers" w:hAnsi="Univers"/>
          <w:sz w:val="20"/>
          <w:szCs w:val="20"/>
        </w:rPr>
      </w:pPr>
    </w:p>
    <w:p w14:paraId="2099D2C6" w14:textId="1CF2BCEE" w:rsidR="00A16440" w:rsidRPr="00D26435" w:rsidRDefault="00A16440" w:rsidP="00A16440">
      <w:pPr>
        <w:pStyle w:val="ListParagraph"/>
        <w:numPr>
          <w:ilvl w:val="0"/>
          <w:numId w:val="2"/>
        </w:numPr>
        <w:tabs>
          <w:tab w:val="left" w:pos="426"/>
        </w:tabs>
        <w:ind w:hanging="720"/>
        <w:rPr>
          <w:rFonts w:ascii="Univers" w:hAnsi="Univers"/>
          <w:sz w:val="20"/>
          <w:szCs w:val="20"/>
        </w:rPr>
      </w:pPr>
      <w:r w:rsidRPr="00D26435">
        <w:rPr>
          <w:rFonts w:ascii="Univers" w:hAnsi="Univers"/>
          <w:sz w:val="20"/>
          <w:szCs w:val="20"/>
        </w:rPr>
        <w:t>Cross</w:t>
      </w:r>
      <w:r w:rsidRPr="00D26435">
        <w:rPr>
          <w:rFonts w:ascii="Cambria Math" w:hAnsi="Cambria Math" w:cs="Cambria Math"/>
          <w:sz w:val="20"/>
          <w:szCs w:val="20"/>
        </w:rPr>
        <w:t>‑</w:t>
      </w:r>
      <w:r w:rsidRPr="00D26435">
        <w:rPr>
          <w:rFonts w:ascii="Univers" w:hAnsi="Univers"/>
          <w:sz w:val="20"/>
          <w:szCs w:val="20"/>
        </w:rPr>
        <w:t>Border Engagement Standards</w:t>
      </w:r>
    </w:p>
    <w:p w14:paraId="1BDABBE7" w14:textId="06FC8678" w:rsidR="00A16440" w:rsidRPr="00D26435" w:rsidRDefault="00A16440" w:rsidP="00A16440">
      <w:pPr>
        <w:pStyle w:val="ListParagraph"/>
        <w:numPr>
          <w:ilvl w:val="0"/>
          <w:numId w:val="2"/>
        </w:numPr>
        <w:tabs>
          <w:tab w:val="left" w:pos="426"/>
        </w:tabs>
        <w:ind w:hanging="720"/>
        <w:rPr>
          <w:rFonts w:ascii="Univers" w:hAnsi="Univers"/>
          <w:sz w:val="20"/>
          <w:szCs w:val="20"/>
        </w:rPr>
      </w:pPr>
      <w:r w:rsidRPr="00D26435">
        <w:rPr>
          <w:rFonts w:ascii="Univers" w:hAnsi="Univers"/>
          <w:sz w:val="20"/>
          <w:szCs w:val="20"/>
        </w:rPr>
        <w:t>International Coordination &amp; Liaison Procedures</w:t>
      </w:r>
    </w:p>
    <w:p w14:paraId="627CE495" w14:textId="1091DD44" w:rsidR="00A16440" w:rsidRPr="00D26435" w:rsidRDefault="00A16440" w:rsidP="00A16440">
      <w:pPr>
        <w:pStyle w:val="ListParagraph"/>
        <w:numPr>
          <w:ilvl w:val="0"/>
          <w:numId w:val="2"/>
        </w:numPr>
        <w:tabs>
          <w:tab w:val="left" w:pos="426"/>
        </w:tabs>
        <w:ind w:hanging="720"/>
        <w:rPr>
          <w:rFonts w:ascii="Univers" w:hAnsi="Univers"/>
          <w:sz w:val="20"/>
          <w:szCs w:val="20"/>
        </w:rPr>
      </w:pPr>
      <w:r w:rsidRPr="00D26435">
        <w:rPr>
          <w:rFonts w:ascii="Univers" w:hAnsi="Univers"/>
          <w:sz w:val="20"/>
          <w:szCs w:val="20"/>
        </w:rPr>
        <w:t>Cross</w:t>
      </w:r>
      <w:r w:rsidRPr="00D26435">
        <w:rPr>
          <w:rFonts w:ascii="Cambria Math" w:hAnsi="Cambria Math" w:cs="Cambria Math"/>
          <w:sz w:val="20"/>
          <w:szCs w:val="20"/>
        </w:rPr>
        <w:t>‑</w:t>
      </w:r>
      <w:r w:rsidRPr="00D26435">
        <w:rPr>
          <w:rFonts w:ascii="Univers" w:hAnsi="Univers"/>
          <w:sz w:val="20"/>
          <w:szCs w:val="20"/>
        </w:rPr>
        <w:t>Jurisdictional Communication &amp; Information</w:t>
      </w:r>
      <w:r w:rsidRPr="00D26435">
        <w:rPr>
          <w:rFonts w:ascii="Cambria Math" w:hAnsi="Cambria Math" w:cs="Cambria Math"/>
          <w:sz w:val="20"/>
          <w:szCs w:val="20"/>
        </w:rPr>
        <w:t>‑</w:t>
      </w:r>
      <w:r w:rsidRPr="00D26435">
        <w:rPr>
          <w:rFonts w:ascii="Univers" w:hAnsi="Univers"/>
          <w:sz w:val="20"/>
          <w:szCs w:val="20"/>
        </w:rPr>
        <w:t>Handling Guidelines</w:t>
      </w:r>
    </w:p>
    <w:p w14:paraId="3293FFB8" w14:textId="1B9BC165" w:rsidR="00C946E7" w:rsidRPr="00D26435" w:rsidRDefault="00A16440" w:rsidP="006F1719">
      <w:pPr>
        <w:pStyle w:val="ListParagraph"/>
        <w:numPr>
          <w:ilvl w:val="0"/>
          <w:numId w:val="2"/>
        </w:numPr>
        <w:tabs>
          <w:tab w:val="left" w:pos="426"/>
        </w:tabs>
        <w:ind w:hanging="720"/>
        <w:rPr>
          <w:rFonts w:ascii="Univers" w:hAnsi="Univers"/>
          <w:sz w:val="20"/>
          <w:szCs w:val="20"/>
        </w:rPr>
      </w:pPr>
      <w:r w:rsidRPr="00D26435">
        <w:rPr>
          <w:rFonts w:ascii="Univers" w:hAnsi="Univers"/>
          <w:sz w:val="20"/>
          <w:szCs w:val="20"/>
        </w:rPr>
        <w:t>Cross</w:t>
      </w:r>
      <w:r w:rsidRPr="00D26435">
        <w:rPr>
          <w:rFonts w:ascii="Cambria Math" w:hAnsi="Cambria Math" w:cs="Cambria Math"/>
          <w:sz w:val="20"/>
          <w:szCs w:val="20"/>
        </w:rPr>
        <w:t>‑</w:t>
      </w:r>
      <w:r w:rsidRPr="00D26435">
        <w:rPr>
          <w:rFonts w:ascii="Univers" w:hAnsi="Univers"/>
          <w:sz w:val="20"/>
          <w:szCs w:val="20"/>
        </w:rPr>
        <w:t>Border Meeting, Consultation &amp; Participation Protocols</w:t>
      </w:r>
    </w:p>
    <w:p w14:paraId="79588F59" w14:textId="77777777" w:rsidR="00A16440" w:rsidRPr="00D26435" w:rsidRDefault="00A16440" w:rsidP="00C946E7">
      <w:pPr>
        <w:rPr>
          <w:rFonts w:ascii="Univers" w:hAnsi="Univers"/>
          <w:b/>
          <w:bCs/>
          <w:sz w:val="20"/>
          <w:szCs w:val="20"/>
        </w:rPr>
      </w:pPr>
    </w:p>
    <w:p w14:paraId="51D4D692" w14:textId="04C7A02D" w:rsidR="00C946E7" w:rsidRPr="00ED53C2" w:rsidRDefault="00C946E7" w:rsidP="00ED53C2">
      <w:pPr>
        <w:tabs>
          <w:tab w:val="left" w:pos="2694"/>
        </w:tabs>
        <w:rPr>
          <w:rFonts w:ascii="Univers" w:hAnsi="Univers"/>
          <w:b/>
          <w:bCs/>
          <w:sz w:val="24"/>
          <w:szCs w:val="24"/>
        </w:rPr>
      </w:pPr>
      <w:r w:rsidRPr="00ED53C2">
        <w:rPr>
          <w:rFonts w:ascii="Univers" w:hAnsi="Univers"/>
          <w:b/>
          <w:bCs/>
          <w:sz w:val="24"/>
          <w:szCs w:val="24"/>
        </w:rPr>
        <w:t>Record</w:t>
      </w:r>
      <w:r w:rsidRPr="00ED53C2">
        <w:rPr>
          <w:rFonts w:ascii="Cambria Math" w:hAnsi="Cambria Math" w:cs="Cambria Math"/>
          <w:b/>
          <w:bCs/>
          <w:sz w:val="24"/>
          <w:szCs w:val="24"/>
        </w:rPr>
        <w:t>‑</w:t>
      </w:r>
      <w:r w:rsidRPr="00ED53C2">
        <w:rPr>
          <w:rFonts w:ascii="Univers" w:hAnsi="Univers"/>
          <w:b/>
          <w:bCs/>
          <w:sz w:val="24"/>
          <w:szCs w:val="24"/>
        </w:rPr>
        <w:t>Keeping &amp; Documentation Standards</w:t>
      </w:r>
    </w:p>
    <w:p w14:paraId="7A2B2CF4" w14:textId="77777777" w:rsidR="008867FB" w:rsidRPr="00D26435" w:rsidRDefault="008867FB">
      <w:pPr>
        <w:rPr>
          <w:rFonts w:ascii="Univers" w:hAnsi="Univers"/>
          <w:sz w:val="20"/>
          <w:szCs w:val="20"/>
        </w:rPr>
      </w:pPr>
    </w:p>
    <w:p w14:paraId="33E833E1" w14:textId="77777777" w:rsidR="008C7A92" w:rsidRPr="00D26435" w:rsidRDefault="008C7A92" w:rsidP="008C7A92">
      <w:pPr>
        <w:rPr>
          <w:rFonts w:ascii="Univers" w:hAnsi="Univers"/>
          <w:sz w:val="20"/>
          <w:szCs w:val="20"/>
        </w:rPr>
      </w:pPr>
      <w:r w:rsidRPr="00D26435">
        <w:rPr>
          <w:rFonts w:ascii="Univers" w:hAnsi="Univers"/>
          <w:sz w:val="20"/>
          <w:szCs w:val="20"/>
        </w:rPr>
        <w:t>The Record</w:t>
      </w:r>
      <w:r w:rsidRPr="00D26435">
        <w:rPr>
          <w:rFonts w:ascii="Cambria Math" w:hAnsi="Cambria Math" w:cs="Cambria Math"/>
          <w:sz w:val="20"/>
          <w:szCs w:val="20"/>
        </w:rPr>
        <w:t>‑</w:t>
      </w:r>
      <w:r w:rsidRPr="00D26435">
        <w:rPr>
          <w:rFonts w:ascii="Univers" w:hAnsi="Univers"/>
          <w:sz w:val="20"/>
          <w:szCs w:val="20"/>
        </w:rPr>
        <w:t>Keeping &amp; Documentation Standards define how the World Economic Chamber maintains accurate, complete and retrievable records across all governance, operational and cross</w:t>
      </w:r>
      <w:r w:rsidRPr="00D26435">
        <w:rPr>
          <w:rFonts w:ascii="Cambria Math" w:hAnsi="Cambria Math" w:cs="Cambria Math"/>
          <w:sz w:val="20"/>
          <w:szCs w:val="20"/>
        </w:rPr>
        <w:t>‑</w:t>
      </w:r>
      <w:r w:rsidRPr="00D26435">
        <w:rPr>
          <w:rFonts w:ascii="Univers" w:hAnsi="Univers"/>
          <w:sz w:val="20"/>
          <w:szCs w:val="20"/>
        </w:rPr>
        <w:t>border activities. They set the expectations for disciplined documentation, ensuring that every institutional action, decision and engagement is supported by a clear audit trail. These standards help preserve transparency, reinforce accountability and maintain the integrity required of an organisation operating in diverse regulatory environments.</w:t>
      </w:r>
    </w:p>
    <w:p w14:paraId="6E1B0026" w14:textId="77777777" w:rsidR="008C7A92" w:rsidRPr="00D26435" w:rsidRDefault="008C7A92" w:rsidP="008C7A92">
      <w:pPr>
        <w:rPr>
          <w:rFonts w:ascii="Univers" w:hAnsi="Univers"/>
          <w:sz w:val="20"/>
          <w:szCs w:val="20"/>
        </w:rPr>
      </w:pPr>
    </w:p>
    <w:p w14:paraId="26B63464" w14:textId="3E6A478F" w:rsidR="008C7A92" w:rsidRPr="00D26435" w:rsidRDefault="008C7A92" w:rsidP="008C7A92">
      <w:pPr>
        <w:pStyle w:val="ListParagraph"/>
        <w:numPr>
          <w:ilvl w:val="0"/>
          <w:numId w:val="3"/>
        </w:numPr>
        <w:tabs>
          <w:tab w:val="left" w:pos="426"/>
        </w:tabs>
        <w:ind w:hanging="720"/>
        <w:rPr>
          <w:rFonts w:ascii="Univers" w:hAnsi="Univers"/>
          <w:sz w:val="20"/>
          <w:szCs w:val="20"/>
        </w:rPr>
      </w:pPr>
      <w:r w:rsidRPr="00D26435">
        <w:rPr>
          <w:rFonts w:ascii="Univers" w:hAnsi="Univers"/>
          <w:sz w:val="20"/>
          <w:szCs w:val="20"/>
        </w:rPr>
        <w:t>Core Record</w:t>
      </w:r>
      <w:r w:rsidRPr="00D26435">
        <w:rPr>
          <w:rFonts w:ascii="Cambria Math" w:hAnsi="Cambria Math" w:cs="Cambria Math"/>
          <w:sz w:val="20"/>
          <w:szCs w:val="20"/>
        </w:rPr>
        <w:t>‑</w:t>
      </w:r>
      <w:r w:rsidRPr="00D26435">
        <w:rPr>
          <w:rFonts w:ascii="Univers" w:hAnsi="Univers"/>
          <w:sz w:val="20"/>
          <w:szCs w:val="20"/>
        </w:rPr>
        <w:t>Keeping Requirements</w:t>
      </w:r>
    </w:p>
    <w:p w14:paraId="48DD3285" w14:textId="154E10F6" w:rsidR="008C7A92" w:rsidRPr="00D26435" w:rsidRDefault="008C7A92" w:rsidP="008C7A92">
      <w:pPr>
        <w:pStyle w:val="ListParagraph"/>
        <w:numPr>
          <w:ilvl w:val="0"/>
          <w:numId w:val="3"/>
        </w:numPr>
        <w:tabs>
          <w:tab w:val="left" w:pos="426"/>
        </w:tabs>
        <w:ind w:hanging="720"/>
        <w:rPr>
          <w:rFonts w:ascii="Univers" w:hAnsi="Univers"/>
          <w:sz w:val="20"/>
          <w:szCs w:val="20"/>
        </w:rPr>
      </w:pPr>
      <w:r w:rsidRPr="00D26435">
        <w:rPr>
          <w:rFonts w:ascii="Univers" w:hAnsi="Univers"/>
          <w:sz w:val="20"/>
          <w:szCs w:val="20"/>
        </w:rPr>
        <w:t>Documentation Standards for Governance &amp; Decision</w:t>
      </w:r>
      <w:r w:rsidRPr="00D26435">
        <w:rPr>
          <w:rFonts w:ascii="Cambria Math" w:hAnsi="Cambria Math" w:cs="Cambria Math"/>
          <w:sz w:val="20"/>
          <w:szCs w:val="20"/>
        </w:rPr>
        <w:t>‑</w:t>
      </w:r>
      <w:r w:rsidRPr="00D26435">
        <w:rPr>
          <w:rFonts w:ascii="Univers" w:hAnsi="Univers"/>
          <w:sz w:val="20"/>
          <w:szCs w:val="20"/>
        </w:rPr>
        <w:t>Making</w:t>
      </w:r>
    </w:p>
    <w:p w14:paraId="26C8A89E" w14:textId="7393399C" w:rsidR="008C7A92" w:rsidRPr="00D26435" w:rsidRDefault="008C7A92" w:rsidP="008C7A92">
      <w:pPr>
        <w:pStyle w:val="ListParagraph"/>
        <w:numPr>
          <w:ilvl w:val="0"/>
          <w:numId w:val="3"/>
        </w:numPr>
        <w:tabs>
          <w:tab w:val="left" w:pos="426"/>
        </w:tabs>
        <w:ind w:hanging="720"/>
        <w:rPr>
          <w:rFonts w:ascii="Univers" w:hAnsi="Univers"/>
          <w:sz w:val="20"/>
          <w:szCs w:val="20"/>
        </w:rPr>
      </w:pPr>
      <w:r w:rsidRPr="00D26435">
        <w:rPr>
          <w:rFonts w:ascii="Univers" w:hAnsi="Univers"/>
          <w:sz w:val="20"/>
          <w:szCs w:val="20"/>
        </w:rPr>
        <w:t>Operational Documentation &amp; Archival Procedures</w:t>
      </w:r>
    </w:p>
    <w:p w14:paraId="4F66D1F5" w14:textId="3B92973A" w:rsidR="008C7A92" w:rsidRPr="00D26435" w:rsidRDefault="008C7A92" w:rsidP="008C7A92">
      <w:pPr>
        <w:pStyle w:val="ListParagraph"/>
        <w:numPr>
          <w:ilvl w:val="0"/>
          <w:numId w:val="3"/>
        </w:numPr>
        <w:tabs>
          <w:tab w:val="left" w:pos="426"/>
        </w:tabs>
        <w:ind w:hanging="720"/>
        <w:rPr>
          <w:rFonts w:ascii="Univers" w:hAnsi="Univers"/>
          <w:sz w:val="20"/>
          <w:szCs w:val="20"/>
        </w:rPr>
      </w:pPr>
      <w:r w:rsidRPr="00D26435">
        <w:rPr>
          <w:rFonts w:ascii="Univers" w:hAnsi="Univers"/>
          <w:sz w:val="20"/>
          <w:szCs w:val="20"/>
        </w:rPr>
        <w:t>Cross</w:t>
      </w:r>
      <w:r w:rsidRPr="00D26435">
        <w:rPr>
          <w:rFonts w:ascii="Cambria Math" w:hAnsi="Cambria Math" w:cs="Cambria Math"/>
          <w:sz w:val="20"/>
          <w:szCs w:val="20"/>
        </w:rPr>
        <w:t>‑</w:t>
      </w:r>
      <w:r w:rsidRPr="00D26435">
        <w:rPr>
          <w:rFonts w:ascii="Univers" w:hAnsi="Univers"/>
          <w:sz w:val="20"/>
          <w:szCs w:val="20"/>
        </w:rPr>
        <w:t>Border Engagement Record</w:t>
      </w:r>
      <w:r w:rsidRPr="00D26435">
        <w:rPr>
          <w:rFonts w:ascii="Cambria Math" w:hAnsi="Cambria Math" w:cs="Cambria Math"/>
          <w:sz w:val="20"/>
          <w:szCs w:val="20"/>
        </w:rPr>
        <w:t>‑</w:t>
      </w:r>
      <w:r w:rsidRPr="00D26435">
        <w:rPr>
          <w:rFonts w:ascii="Univers" w:hAnsi="Univers"/>
          <w:sz w:val="20"/>
          <w:szCs w:val="20"/>
        </w:rPr>
        <w:t>Keeping Protocols</w:t>
      </w:r>
    </w:p>
    <w:p w14:paraId="35C450E9" w14:textId="3691838A" w:rsidR="008C7A92" w:rsidRPr="00D26435" w:rsidRDefault="008C7A92" w:rsidP="008C7A92">
      <w:pPr>
        <w:pStyle w:val="ListParagraph"/>
        <w:numPr>
          <w:ilvl w:val="0"/>
          <w:numId w:val="3"/>
        </w:numPr>
        <w:tabs>
          <w:tab w:val="left" w:pos="426"/>
        </w:tabs>
        <w:ind w:hanging="720"/>
        <w:rPr>
          <w:rFonts w:ascii="Univers" w:hAnsi="Univers"/>
          <w:sz w:val="20"/>
          <w:szCs w:val="20"/>
        </w:rPr>
      </w:pPr>
      <w:r w:rsidRPr="00D26435">
        <w:rPr>
          <w:rFonts w:ascii="Univers" w:hAnsi="Univers"/>
          <w:sz w:val="20"/>
          <w:szCs w:val="20"/>
        </w:rPr>
        <w:t>Compliance, Audit &amp; Retrieval Guidelines</w:t>
      </w:r>
    </w:p>
    <w:p w14:paraId="7E282D41" w14:textId="77777777" w:rsidR="00C5006A" w:rsidRDefault="00C5006A"/>
    <w:sectPr w:rsidR="00C500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D0250"/>
    <w:multiLevelType w:val="hybridMultilevel"/>
    <w:tmpl w:val="A484D8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F90B87"/>
    <w:multiLevelType w:val="hybridMultilevel"/>
    <w:tmpl w:val="E62820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9D52BE0"/>
    <w:multiLevelType w:val="hybridMultilevel"/>
    <w:tmpl w:val="F1D86A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5272842">
    <w:abstractNumId w:val="0"/>
  </w:num>
  <w:num w:numId="2" w16cid:durableId="250237881">
    <w:abstractNumId w:val="1"/>
  </w:num>
  <w:num w:numId="3" w16cid:durableId="926614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8F4"/>
    <w:rsid w:val="000D3EDE"/>
    <w:rsid w:val="002224FB"/>
    <w:rsid w:val="00225CE0"/>
    <w:rsid w:val="002E4FC1"/>
    <w:rsid w:val="004354FE"/>
    <w:rsid w:val="004F7A8D"/>
    <w:rsid w:val="005258F9"/>
    <w:rsid w:val="005F4A3E"/>
    <w:rsid w:val="00627EF6"/>
    <w:rsid w:val="006F1719"/>
    <w:rsid w:val="00765425"/>
    <w:rsid w:val="007C269C"/>
    <w:rsid w:val="0086417D"/>
    <w:rsid w:val="008867FB"/>
    <w:rsid w:val="008C2806"/>
    <w:rsid w:val="008C7A92"/>
    <w:rsid w:val="0090131E"/>
    <w:rsid w:val="009968F4"/>
    <w:rsid w:val="00A16440"/>
    <w:rsid w:val="00A220FF"/>
    <w:rsid w:val="00A41A35"/>
    <w:rsid w:val="00A67237"/>
    <w:rsid w:val="00B365CE"/>
    <w:rsid w:val="00BC4381"/>
    <w:rsid w:val="00C3515B"/>
    <w:rsid w:val="00C5006A"/>
    <w:rsid w:val="00C946E7"/>
    <w:rsid w:val="00CF40CF"/>
    <w:rsid w:val="00D26435"/>
    <w:rsid w:val="00D428EB"/>
    <w:rsid w:val="00DF3A94"/>
    <w:rsid w:val="00E174E1"/>
    <w:rsid w:val="00E93217"/>
    <w:rsid w:val="00EC0045"/>
    <w:rsid w:val="00ED53C2"/>
    <w:rsid w:val="00F27BB4"/>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E9B8D"/>
  <w15:chartTrackingRefBased/>
  <w15:docId w15:val="{7266FA01-97A8-49FC-8A76-D9879168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8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8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8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8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8F4"/>
    <w:rPr>
      <w:rFonts w:eastAsiaTheme="majorEastAsia" w:cstheme="majorBidi"/>
      <w:color w:val="272727" w:themeColor="text1" w:themeTint="D8"/>
    </w:rPr>
  </w:style>
  <w:style w:type="paragraph" w:styleId="Title">
    <w:name w:val="Title"/>
    <w:basedOn w:val="Normal"/>
    <w:next w:val="Normal"/>
    <w:link w:val="TitleChar"/>
    <w:uiPriority w:val="10"/>
    <w:qFormat/>
    <w:rsid w:val="009968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8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8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68F4"/>
    <w:rPr>
      <w:i/>
      <w:iCs/>
      <w:color w:val="404040" w:themeColor="text1" w:themeTint="BF"/>
    </w:rPr>
  </w:style>
  <w:style w:type="paragraph" w:styleId="ListParagraph">
    <w:name w:val="List Paragraph"/>
    <w:basedOn w:val="Normal"/>
    <w:uiPriority w:val="34"/>
    <w:qFormat/>
    <w:rsid w:val="009968F4"/>
    <w:pPr>
      <w:ind w:left="720"/>
      <w:contextualSpacing/>
    </w:pPr>
  </w:style>
  <w:style w:type="character" w:styleId="IntenseEmphasis">
    <w:name w:val="Intense Emphasis"/>
    <w:basedOn w:val="DefaultParagraphFont"/>
    <w:uiPriority w:val="21"/>
    <w:qFormat/>
    <w:rsid w:val="009968F4"/>
    <w:rPr>
      <w:i/>
      <w:iCs/>
      <w:color w:val="0F4761" w:themeColor="accent1" w:themeShade="BF"/>
    </w:rPr>
  </w:style>
  <w:style w:type="paragraph" w:styleId="IntenseQuote">
    <w:name w:val="Intense Quote"/>
    <w:basedOn w:val="Normal"/>
    <w:next w:val="Normal"/>
    <w:link w:val="IntenseQuoteChar"/>
    <w:uiPriority w:val="30"/>
    <w:qFormat/>
    <w:rsid w:val="00996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8F4"/>
    <w:rPr>
      <w:i/>
      <w:iCs/>
      <w:color w:val="0F4761" w:themeColor="accent1" w:themeShade="BF"/>
    </w:rPr>
  </w:style>
  <w:style w:type="character" w:styleId="IntenseReference">
    <w:name w:val="Intense Reference"/>
    <w:basedOn w:val="DefaultParagraphFont"/>
    <w:uiPriority w:val="32"/>
    <w:qFormat/>
    <w:rsid w:val="009968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897</Words>
  <Characters>5116</Characters>
  <Application>Microsoft Office Word</Application>
  <DocSecurity>0</DocSecurity>
  <Lines>42</Lines>
  <Paragraphs>12</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19</cp:revision>
  <dcterms:created xsi:type="dcterms:W3CDTF">2026-07-19T11:03:00Z</dcterms:created>
  <dcterms:modified xsi:type="dcterms:W3CDTF">2026-07-19T13:35:00Z</dcterms:modified>
</cp:coreProperties>
</file>