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C571E" w:rsidRPr="008016E1" w:rsidRDefault="00000000">
      <w:pPr>
        <w:jc w:val="center"/>
        <w:rPr>
          <w:rFonts w:ascii="Univers" w:eastAsia="Open Sans" w:hAnsi="Univers" w:cs="Open Sans"/>
          <w:b/>
          <w:bCs/>
          <w:sz w:val="24"/>
          <w:szCs w:val="24"/>
        </w:rPr>
      </w:pPr>
      <w:r w:rsidRPr="008016E1">
        <w:rPr>
          <w:rFonts w:ascii="Univers" w:eastAsia="Open Sans" w:hAnsi="Univers" w:cs="Open Sans"/>
          <w:b/>
          <w:bCs/>
          <w:sz w:val="24"/>
          <w:szCs w:val="24"/>
        </w:rPr>
        <w:t>MEDIA AND COMMUNICATIONS</w:t>
      </w:r>
    </w:p>
    <w:p w14:paraId="00000002" w14:textId="77777777" w:rsidR="003C571E" w:rsidRPr="008016E1" w:rsidRDefault="003C571E">
      <w:pPr>
        <w:rPr>
          <w:rFonts w:ascii="Univers" w:eastAsia="Open Sans" w:hAnsi="Univers" w:cs="Open Sans"/>
          <w:sz w:val="20"/>
          <w:szCs w:val="20"/>
        </w:rPr>
      </w:pPr>
    </w:p>
    <w:p w14:paraId="00000003" w14:textId="77777777" w:rsidR="003C571E" w:rsidRPr="008016E1" w:rsidRDefault="00000000">
      <w:pPr>
        <w:jc w:val="both"/>
        <w:rPr>
          <w:rFonts w:ascii="Univers" w:eastAsia="Open Sans" w:hAnsi="Univers" w:cs="Open Sans"/>
          <w:b/>
          <w:bCs/>
          <w:sz w:val="20"/>
          <w:szCs w:val="20"/>
        </w:rPr>
      </w:pPr>
      <w:r w:rsidRPr="008016E1">
        <w:rPr>
          <w:rFonts w:ascii="Univers" w:eastAsia="Open Sans" w:hAnsi="Univers" w:cs="Open Sans"/>
          <w:b/>
          <w:bCs/>
          <w:sz w:val="20"/>
          <w:szCs w:val="20"/>
        </w:rPr>
        <w:t>The World Economic Chamber communicates with members, the media and the broader public through channels structured to reflect the same standards of accuracy, consistency and institutional discipline applied throughout its governance, policy and research work.</w:t>
      </w:r>
    </w:p>
    <w:p w14:paraId="00000004" w14:textId="77777777" w:rsidR="003C571E" w:rsidRPr="008016E1" w:rsidRDefault="003C571E">
      <w:pPr>
        <w:jc w:val="both"/>
        <w:rPr>
          <w:rFonts w:ascii="Univers" w:eastAsia="Open Sans" w:hAnsi="Univers" w:cs="Open Sans"/>
          <w:b/>
          <w:bCs/>
          <w:sz w:val="20"/>
          <w:szCs w:val="20"/>
        </w:rPr>
      </w:pPr>
    </w:p>
    <w:p w14:paraId="00000005" w14:textId="77777777" w:rsidR="003C571E" w:rsidRPr="008016E1" w:rsidRDefault="00000000">
      <w:pPr>
        <w:jc w:val="both"/>
        <w:rPr>
          <w:rFonts w:ascii="Univers" w:eastAsia="Open Sans" w:hAnsi="Univers" w:cs="Open Sans"/>
          <w:b/>
          <w:bCs/>
          <w:sz w:val="24"/>
          <w:szCs w:val="24"/>
        </w:rPr>
      </w:pPr>
      <w:r w:rsidRPr="008016E1">
        <w:rPr>
          <w:rFonts w:ascii="Univers" w:eastAsia="Open Sans" w:hAnsi="Univers" w:cs="Open Sans"/>
          <w:b/>
          <w:bCs/>
          <w:sz w:val="24"/>
          <w:szCs w:val="24"/>
        </w:rPr>
        <w:t>Press Releases &amp; Official Statements</w:t>
      </w:r>
    </w:p>
    <w:p w14:paraId="00000006" w14:textId="77777777" w:rsidR="003C571E" w:rsidRPr="008016E1" w:rsidRDefault="003C571E">
      <w:pPr>
        <w:jc w:val="both"/>
        <w:rPr>
          <w:rFonts w:ascii="Univers" w:eastAsia="Open Sans" w:hAnsi="Univers" w:cs="Open Sans"/>
          <w:sz w:val="20"/>
          <w:szCs w:val="20"/>
        </w:rPr>
      </w:pPr>
    </w:p>
    <w:p w14:paraId="00000007"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Press Releases &amp; Official Statements constitute the Chamber's formal external communications on matters of institutional significance, including major decisions, program developments, appointments and positions the Chamber has determined warrant direct public communication. These communications are treated with the same rigour applied to the Chamber's other institutional output, reflecting the understanding that statements issued under the Chamber's name carry the weight of its broader credibility.</w:t>
      </w:r>
    </w:p>
    <w:p w14:paraId="00000008" w14:textId="77777777" w:rsidR="003C571E" w:rsidRPr="008016E1" w:rsidRDefault="003C571E">
      <w:pPr>
        <w:jc w:val="both"/>
        <w:rPr>
          <w:rFonts w:ascii="Univers" w:eastAsia="Open Sans" w:hAnsi="Univers" w:cs="Open Sans"/>
          <w:sz w:val="20"/>
          <w:szCs w:val="20"/>
        </w:rPr>
      </w:pPr>
    </w:p>
    <w:p w14:paraId="00000009"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The decision to issue a press release or official statement is made with reference to the significance of the matter concerned, distinguishing genuinely material developments from routine institutional activity that does not warrant formal public communication. This selectivity reflects the Chamber's broader institutional philosophy: that communications retain their value and credibility precisely because they are not issued indiscriminately.</w:t>
      </w:r>
    </w:p>
    <w:p w14:paraId="0000000A" w14:textId="77777777" w:rsidR="003C571E" w:rsidRPr="008016E1" w:rsidRDefault="003C571E">
      <w:pPr>
        <w:jc w:val="both"/>
        <w:rPr>
          <w:rFonts w:ascii="Univers" w:eastAsia="Open Sans" w:hAnsi="Univers" w:cs="Open Sans"/>
          <w:sz w:val="20"/>
          <w:szCs w:val="20"/>
        </w:rPr>
      </w:pPr>
    </w:p>
    <w:p w14:paraId="0000000B"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All press releases and official statements are prepared through an internal review process consistent with the standards applied across the Chamber's policy and research output, ensuring accuracy, consistency with the Chamber's existing Global Policy Statements and prior public communications, and appropriate authorisation before release. Where a statement addresses a matter with cross-jurisdictional implications, its development is coordinated in accordance with the Cross-Jurisdictional Consultation &amp; Coordination Procedures, ensuring that public communication remains consistent with positions the Chamber has taken, or may take, in other jurisdictions.</w:t>
      </w:r>
    </w:p>
    <w:p w14:paraId="0000000C" w14:textId="77777777" w:rsidR="003C571E" w:rsidRPr="008016E1" w:rsidRDefault="003C571E">
      <w:pPr>
        <w:jc w:val="both"/>
        <w:rPr>
          <w:rFonts w:ascii="Univers" w:eastAsia="Open Sans" w:hAnsi="Univers" w:cs="Open Sans"/>
          <w:sz w:val="20"/>
          <w:szCs w:val="20"/>
        </w:rPr>
      </w:pPr>
    </w:p>
    <w:p w14:paraId="0000000D"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Official statements may also be issued in response to external developments of direct relevance to the Chamber's mandate or membership, providing the Chamber's institutional perspective on matters shaping the cross-border economic environment. As with all Chamber communications, these statements are prepared consistent with the Institutional Independence &amp; Neutrality Policy, ensuring that public positions reflect the Chamber's considered institutional view rather than the interests of any individual member, sector or jurisdiction.</w:t>
      </w:r>
    </w:p>
    <w:p w14:paraId="0000000E" w14:textId="77777777" w:rsidR="003C571E" w:rsidRPr="008016E1" w:rsidRDefault="003C571E">
      <w:pPr>
        <w:jc w:val="both"/>
        <w:rPr>
          <w:rFonts w:ascii="Univers" w:eastAsia="Open Sans" w:hAnsi="Univers" w:cs="Open Sans"/>
          <w:sz w:val="20"/>
          <w:szCs w:val="20"/>
        </w:rPr>
      </w:pPr>
    </w:p>
    <w:p w14:paraId="0000000F"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The Chamber maintains a record of its press releases and official statements, providing members, media representatives and the broader public with a transparent and accurate account of the Chamber's public communications over time, consistent with the Record-Keeping &amp; Documentation Standards applied throughout its institutional activity.</w:t>
      </w:r>
    </w:p>
    <w:p w14:paraId="00000010" w14:textId="77777777" w:rsidR="003C571E" w:rsidRPr="008016E1" w:rsidRDefault="003C571E">
      <w:pPr>
        <w:jc w:val="both"/>
        <w:rPr>
          <w:rFonts w:ascii="Univers" w:eastAsia="Open Sans" w:hAnsi="Univers" w:cs="Open Sans"/>
          <w:b/>
          <w:bCs/>
          <w:sz w:val="20"/>
          <w:szCs w:val="20"/>
        </w:rPr>
      </w:pPr>
    </w:p>
    <w:p w14:paraId="00000011" w14:textId="77777777" w:rsidR="003C571E" w:rsidRPr="008016E1" w:rsidRDefault="00000000">
      <w:pPr>
        <w:jc w:val="both"/>
        <w:rPr>
          <w:rFonts w:ascii="Univers" w:eastAsia="Open Sans" w:hAnsi="Univers" w:cs="Open Sans"/>
          <w:b/>
          <w:bCs/>
          <w:sz w:val="24"/>
          <w:szCs w:val="24"/>
        </w:rPr>
      </w:pPr>
      <w:r w:rsidRPr="008016E1">
        <w:rPr>
          <w:rFonts w:ascii="Univers" w:eastAsia="Open Sans" w:hAnsi="Univers" w:cs="Open Sans"/>
          <w:b/>
          <w:bCs/>
          <w:sz w:val="24"/>
          <w:szCs w:val="24"/>
        </w:rPr>
        <w:t>WEC Insights &amp; Commentary</w:t>
      </w:r>
    </w:p>
    <w:p w14:paraId="00000012" w14:textId="77777777" w:rsidR="003C571E" w:rsidRPr="008016E1" w:rsidRDefault="003C571E">
      <w:pPr>
        <w:jc w:val="both"/>
        <w:rPr>
          <w:rFonts w:ascii="Univers" w:eastAsia="Open Sans" w:hAnsi="Univers" w:cs="Open Sans"/>
          <w:sz w:val="20"/>
          <w:szCs w:val="20"/>
        </w:rPr>
      </w:pPr>
    </w:p>
    <w:p w14:paraId="00000013"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WEC Insights &amp; Commentary provides a channel for the Chamber's perspective on developments relevant to cross-border economic activity, offered in a more accessible and timely format than the Chamber's formal position papers and reports, while maintaining the same underlying standard of accuracy and institutional discipline.</w:t>
      </w:r>
    </w:p>
    <w:p w14:paraId="00000014" w14:textId="77777777" w:rsidR="003C571E" w:rsidRPr="008016E1" w:rsidRDefault="003C571E">
      <w:pPr>
        <w:jc w:val="both"/>
        <w:rPr>
          <w:rFonts w:ascii="Univers" w:eastAsia="Open Sans" w:hAnsi="Univers" w:cs="Open Sans"/>
          <w:sz w:val="20"/>
          <w:szCs w:val="20"/>
        </w:rPr>
      </w:pPr>
    </w:p>
    <w:p w14:paraId="00000015"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This channel allows the Chamber to respond to matters of emerging relevance to its membership and mandate, whether regulatory developments, market conditions or broader shifts in the international economic environment, without the extended development timeline associated with a formal position paper or white paper. Insights and commentary pieces are shorter and more immediate in nature, designed to provide members and external readers with a clear, considered institutional perspective on a specific development shortly after it arises.</w:t>
      </w:r>
    </w:p>
    <w:p w14:paraId="00000016" w14:textId="77777777" w:rsidR="003C571E" w:rsidRPr="008016E1" w:rsidRDefault="003C571E">
      <w:pPr>
        <w:jc w:val="both"/>
        <w:rPr>
          <w:rFonts w:ascii="Univers" w:eastAsia="Open Sans" w:hAnsi="Univers" w:cs="Open Sans"/>
          <w:sz w:val="20"/>
          <w:szCs w:val="20"/>
        </w:rPr>
      </w:pPr>
    </w:p>
    <w:p w14:paraId="00000017"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Content published under WEC Insights &amp; Commentary draws on the analytical foundation provided by the Chamber's research and intelligence function, ensuring that even shorter-form content reflects the same evidentiary grounding applied to the Chamber's more extensive publications. Where a piece of commentary touches on a matter under active regulatory consideration or connected to a formal Chamber position, it is prepared with reference to the Chamber's existing Global Policy Statements and position papers to maintain consistency across the institution's public voice.</w:t>
      </w:r>
    </w:p>
    <w:p w14:paraId="00000018" w14:textId="77777777" w:rsidR="003C571E" w:rsidRPr="008016E1" w:rsidRDefault="003C571E">
      <w:pPr>
        <w:jc w:val="both"/>
        <w:rPr>
          <w:rFonts w:ascii="Univers" w:eastAsia="Open Sans" w:hAnsi="Univers" w:cs="Open Sans"/>
          <w:sz w:val="20"/>
          <w:szCs w:val="20"/>
        </w:rPr>
      </w:pPr>
    </w:p>
    <w:p w14:paraId="00000019"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As with all Chamber communications, Insights &amp; Commentary content is developed consistent with the Institutional Independence &amp; Neutrality Policy, ensuring that the Chamber's published perspective remains free from the influence of any individual member, sector or jurisdictional interest, notwithstanding the more accessible and immediate nature of this content relative to the Chamber's formal policy output.</w:t>
      </w:r>
    </w:p>
    <w:p w14:paraId="0000001A" w14:textId="77777777" w:rsidR="003C571E" w:rsidRPr="008016E1" w:rsidRDefault="003C571E">
      <w:pPr>
        <w:jc w:val="both"/>
        <w:rPr>
          <w:rFonts w:ascii="Univers" w:eastAsia="Open Sans" w:hAnsi="Univers" w:cs="Open Sans"/>
          <w:sz w:val="20"/>
          <w:szCs w:val="20"/>
        </w:rPr>
      </w:pPr>
    </w:p>
    <w:p w14:paraId="0000001B"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WEC Insights &amp; Commentary is published on a rolling basis as relevant developments arise, providing members with a regular, dependable source of institutional perspective between the Chamber's more substantial research and policy publications. This content is reviewed prior to publication consistent with the standards applied across the Chamber's broader communications and research output, ensuring that accessibility of format does not come at the expense of the accuracy and institutional discipline expected of Chamber-published material.</w:t>
      </w:r>
    </w:p>
    <w:p w14:paraId="0000001C" w14:textId="77777777" w:rsidR="003C571E" w:rsidRPr="008016E1" w:rsidRDefault="003C571E">
      <w:pPr>
        <w:jc w:val="both"/>
        <w:rPr>
          <w:rFonts w:ascii="Univers" w:eastAsia="Open Sans" w:hAnsi="Univers" w:cs="Open Sans"/>
          <w:b/>
          <w:bCs/>
          <w:sz w:val="20"/>
          <w:szCs w:val="20"/>
        </w:rPr>
      </w:pPr>
    </w:p>
    <w:p w14:paraId="0000001D" w14:textId="77777777" w:rsidR="003C571E" w:rsidRPr="008016E1" w:rsidRDefault="00000000">
      <w:pPr>
        <w:jc w:val="both"/>
        <w:rPr>
          <w:rFonts w:ascii="Univers" w:eastAsia="Open Sans" w:hAnsi="Univers" w:cs="Open Sans"/>
          <w:b/>
          <w:bCs/>
          <w:sz w:val="24"/>
          <w:szCs w:val="24"/>
        </w:rPr>
      </w:pPr>
      <w:r w:rsidRPr="008016E1">
        <w:rPr>
          <w:rFonts w:ascii="Univers" w:eastAsia="Open Sans" w:hAnsi="Univers" w:cs="Open Sans"/>
          <w:b/>
          <w:bCs/>
          <w:sz w:val="24"/>
          <w:szCs w:val="24"/>
        </w:rPr>
        <w:t>Media Resources &amp; Contact</w:t>
      </w:r>
    </w:p>
    <w:p w14:paraId="0000001E" w14:textId="77777777" w:rsidR="003C571E" w:rsidRPr="008016E1" w:rsidRDefault="003C571E">
      <w:pPr>
        <w:jc w:val="both"/>
        <w:rPr>
          <w:rFonts w:ascii="Univers" w:eastAsia="Open Sans" w:hAnsi="Univers" w:cs="Open Sans"/>
          <w:sz w:val="20"/>
          <w:szCs w:val="20"/>
        </w:rPr>
      </w:pPr>
    </w:p>
    <w:p w14:paraId="0000001F"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Media Resources &amp; Contact provides journalists, researchers and other external parties with structured access to information about the World Economic Chamber, together with the appropriate channels through which media enquiries can be directed to the Executive Secretariat.</w:t>
      </w:r>
    </w:p>
    <w:p w14:paraId="00000020" w14:textId="77777777" w:rsidR="003C571E" w:rsidRPr="008016E1" w:rsidRDefault="003C571E">
      <w:pPr>
        <w:jc w:val="both"/>
        <w:rPr>
          <w:rFonts w:ascii="Univers" w:eastAsia="Open Sans" w:hAnsi="Univers" w:cs="Open Sans"/>
          <w:sz w:val="20"/>
          <w:szCs w:val="20"/>
        </w:rPr>
      </w:pPr>
    </w:p>
    <w:p w14:paraId="00000021"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This section provides factual background material regarding the Chamber's mandate, governance structure and areas of institutional focus, offering media representatives an accurate foundation for reporting on the Chamber's activities without requiring direct enquiry for basic institutional information. Materials are maintained consistent with the Chamber's broader commitment to transparency and factual accuracy, ensuring that publicly available background information remains current and precise.</w:t>
      </w:r>
    </w:p>
    <w:p w14:paraId="00000022" w14:textId="77777777" w:rsidR="003C571E" w:rsidRPr="008016E1" w:rsidRDefault="003C571E">
      <w:pPr>
        <w:jc w:val="both"/>
        <w:rPr>
          <w:rFonts w:ascii="Univers" w:eastAsia="Open Sans" w:hAnsi="Univers" w:cs="Open Sans"/>
          <w:sz w:val="20"/>
          <w:szCs w:val="20"/>
        </w:rPr>
      </w:pPr>
    </w:p>
    <w:p w14:paraId="00000023"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Media enquiries relating to the Chamber's press releases, official statements or public commentary are directed through defined channels to ensure that responses are provided by individuals authorised to represent the Chamber's institutional position, consistent with the authorisation standards applied across the Chamber's external communications. This structured approach reflects the same discipline the Chamber applies to its regulatory and diplomatic engagement, recognising that media communication carries similar institutional weight and similar reputational consequence if handled inconsistently.</w:t>
      </w:r>
    </w:p>
    <w:p w14:paraId="00000024" w14:textId="77777777" w:rsidR="003C571E" w:rsidRPr="008016E1" w:rsidRDefault="003C571E">
      <w:pPr>
        <w:jc w:val="both"/>
        <w:rPr>
          <w:rFonts w:ascii="Univers" w:eastAsia="Open Sans" w:hAnsi="Univers" w:cs="Open Sans"/>
          <w:sz w:val="20"/>
          <w:szCs w:val="20"/>
        </w:rPr>
      </w:pPr>
    </w:p>
    <w:p w14:paraId="00000025"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Where a media enquiry touches on a matter with cross-jurisdictional implications or connects to the Chamber's regulatory or government relations activity, responses are coordinated internally consistent with the Cross-Jurisdictional Consultation &amp; Coordination Procedures, ensuring that public statements to media remain consistent with the Chamber's engagement in other contexts and jurisdictions.</w:t>
      </w:r>
    </w:p>
    <w:p w14:paraId="00000026" w14:textId="77777777" w:rsidR="003C571E" w:rsidRPr="008016E1" w:rsidRDefault="003C571E">
      <w:pPr>
        <w:jc w:val="both"/>
        <w:rPr>
          <w:rFonts w:ascii="Univers" w:eastAsia="Open Sans" w:hAnsi="Univers" w:cs="Open Sans"/>
          <w:sz w:val="20"/>
          <w:szCs w:val="20"/>
        </w:rPr>
      </w:pPr>
    </w:p>
    <w:p w14:paraId="00000027"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 xml:space="preserve">The Chamber aims to respond to legitimate media enquiries in a timely and constructive manner, recognising the role that accurate media coverage plays in supporting public understanding of the Chamber's mandate and activities. Journalists and researchers seeking further information, interview access or clarification on any aspect of the Chamber's work are encouraged to contact the Executive Secretariat through the designated media contact channel, which is maintained </w:t>
      </w:r>
      <w:r w:rsidRPr="008016E1">
        <w:rPr>
          <w:rFonts w:ascii="Univers" w:eastAsia="Open Sans" w:hAnsi="Univers" w:cs="Open Sans"/>
          <w:sz w:val="20"/>
          <w:szCs w:val="20"/>
        </w:rPr>
        <w:lastRenderedPageBreak/>
        <w:t>and monitored consistent with the Chamber's broader standards of institutional responsiveness and professionalism.</w:t>
      </w:r>
    </w:p>
    <w:p w14:paraId="00000028" w14:textId="77777777" w:rsidR="003C571E" w:rsidRPr="008016E1" w:rsidRDefault="003C571E">
      <w:pPr>
        <w:jc w:val="both"/>
        <w:rPr>
          <w:rFonts w:ascii="Univers" w:eastAsia="Open Sans" w:hAnsi="Univers" w:cs="Open Sans"/>
          <w:b/>
          <w:bCs/>
          <w:sz w:val="20"/>
          <w:szCs w:val="20"/>
        </w:rPr>
      </w:pPr>
    </w:p>
    <w:p w14:paraId="00000029" w14:textId="77777777" w:rsidR="003C571E" w:rsidRPr="008016E1" w:rsidRDefault="00000000">
      <w:pPr>
        <w:jc w:val="both"/>
        <w:rPr>
          <w:rFonts w:ascii="Univers" w:eastAsia="Open Sans" w:hAnsi="Univers" w:cs="Open Sans"/>
          <w:b/>
          <w:bCs/>
          <w:sz w:val="24"/>
          <w:szCs w:val="24"/>
        </w:rPr>
      </w:pPr>
      <w:r w:rsidRPr="008016E1">
        <w:rPr>
          <w:rFonts w:ascii="Univers" w:eastAsia="Open Sans" w:hAnsi="Univers" w:cs="Open Sans"/>
          <w:b/>
          <w:bCs/>
          <w:sz w:val="24"/>
          <w:szCs w:val="24"/>
        </w:rPr>
        <w:t>Public Announcements &amp; Notices</w:t>
      </w:r>
    </w:p>
    <w:p w14:paraId="0000002A" w14:textId="77777777" w:rsidR="003C571E" w:rsidRPr="008016E1" w:rsidRDefault="003C571E">
      <w:pPr>
        <w:jc w:val="both"/>
        <w:rPr>
          <w:rFonts w:ascii="Univers" w:eastAsia="Open Sans" w:hAnsi="Univers" w:cs="Open Sans"/>
          <w:sz w:val="20"/>
          <w:szCs w:val="20"/>
        </w:rPr>
      </w:pPr>
    </w:p>
    <w:p w14:paraId="0000002B"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Public Announcements &amp; Notices provides a channel for the Chamber's routine and procedural public communications, distinguishing this administrative and informational content from the more substantive material found in the Chamber's press releases, official statements and published commentary.</w:t>
      </w:r>
    </w:p>
    <w:p w14:paraId="0000002C" w14:textId="77777777" w:rsidR="003C571E" w:rsidRPr="008016E1" w:rsidRDefault="003C571E">
      <w:pPr>
        <w:jc w:val="both"/>
        <w:rPr>
          <w:rFonts w:ascii="Univers" w:eastAsia="Open Sans" w:hAnsi="Univers" w:cs="Open Sans"/>
          <w:sz w:val="20"/>
          <w:szCs w:val="20"/>
        </w:rPr>
      </w:pPr>
    </w:p>
    <w:p w14:paraId="0000002D"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This section includes announcements regarding matters such as changes to the Chamber's governance documents, updates to membership procedures, scheduling information connected to the Chamber's events and forums, and other notices of a procedural or administrative nature that members and the broader public may need to be aware of. While less substantive in content than the Chamber's formal statements, these announcements are prepared with the same attention to accuracy expected of all Chamber communications.</w:t>
      </w:r>
    </w:p>
    <w:p w14:paraId="0000002E" w14:textId="77777777" w:rsidR="003C571E" w:rsidRPr="008016E1" w:rsidRDefault="003C571E">
      <w:pPr>
        <w:jc w:val="both"/>
        <w:rPr>
          <w:rFonts w:ascii="Univers" w:eastAsia="Open Sans" w:hAnsi="Univers" w:cs="Open Sans"/>
          <w:sz w:val="20"/>
          <w:szCs w:val="20"/>
        </w:rPr>
      </w:pPr>
    </w:p>
    <w:p w14:paraId="0000002F"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Announcements and notices are issued by the Executive Secretariat consistent with its responsibilities under the Chamber's governance architecture, ensuring that procedural communications originate from, and are consistent with, the appropriate institutional authority. Where an announcement relates to a change with governance significance, such as an amendment to the Chamber's Charter or governance documents, it is issued with reference to the relevant approval and documentation requirements set out in the Chamber's Decision-Making Procedures &amp; Approval Pathways.</w:t>
      </w:r>
    </w:p>
    <w:p w14:paraId="00000030" w14:textId="77777777" w:rsidR="003C571E" w:rsidRPr="008016E1" w:rsidRDefault="003C571E">
      <w:pPr>
        <w:jc w:val="both"/>
        <w:rPr>
          <w:rFonts w:ascii="Univers" w:eastAsia="Open Sans" w:hAnsi="Univers" w:cs="Open Sans"/>
          <w:sz w:val="20"/>
          <w:szCs w:val="20"/>
        </w:rPr>
      </w:pPr>
    </w:p>
    <w:p w14:paraId="00000031"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This section serves an important function in maintaining the Chamber's broader commitment to transparency, ensuring that members and external parties have access to timely information regarding procedural and administrative developments without requiring direct enquiry to the Secretariat for routine matters. Public Announcements &amp; Notices complement, rather than substitute for, the more substantive communications found in the Chamber's press releases and official statements, together providing a comprehensive account of the Chamber's public-facing communications across every level of institutional significance.</w:t>
      </w:r>
    </w:p>
    <w:p w14:paraId="00000032" w14:textId="77777777" w:rsidR="003C571E" w:rsidRPr="008016E1" w:rsidRDefault="003C571E">
      <w:pPr>
        <w:jc w:val="both"/>
        <w:rPr>
          <w:rFonts w:ascii="Univers" w:eastAsia="Open Sans" w:hAnsi="Univers" w:cs="Open Sans"/>
          <w:sz w:val="20"/>
          <w:szCs w:val="20"/>
        </w:rPr>
      </w:pPr>
    </w:p>
    <w:p w14:paraId="00000033" w14:textId="77777777" w:rsidR="003C571E" w:rsidRPr="008016E1" w:rsidRDefault="00000000">
      <w:pPr>
        <w:jc w:val="both"/>
        <w:rPr>
          <w:rFonts w:ascii="Univers" w:eastAsia="Open Sans" w:hAnsi="Univers" w:cs="Open Sans"/>
          <w:sz w:val="20"/>
          <w:szCs w:val="20"/>
        </w:rPr>
      </w:pPr>
      <w:r w:rsidRPr="008016E1">
        <w:rPr>
          <w:rFonts w:ascii="Univers" w:eastAsia="Open Sans" w:hAnsi="Univers" w:cs="Open Sans"/>
          <w:sz w:val="20"/>
          <w:szCs w:val="20"/>
        </w:rPr>
        <w:t>Announcements and notices are archived consistent with the Record-Keeping &amp; Documentation Standards, providing a reliable historical record of the Chamber's procedural communications that members and external parties can reference as needed.</w:t>
      </w:r>
    </w:p>
    <w:p w14:paraId="00000034" w14:textId="77777777" w:rsidR="003C571E" w:rsidRPr="008016E1" w:rsidRDefault="003C571E">
      <w:pPr>
        <w:jc w:val="both"/>
        <w:rPr>
          <w:rFonts w:ascii="Univers" w:eastAsia="Open Sans" w:hAnsi="Univers" w:cs="Open Sans"/>
          <w:sz w:val="20"/>
          <w:szCs w:val="20"/>
        </w:rPr>
      </w:pPr>
    </w:p>
    <w:sectPr w:rsidR="003C571E" w:rsidRPr="008016E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3D4463A-902E-48E7-B737-D2D5FDEDC340}"/>
    <w:embedItalic r:id="rId2" w:fontKey="{6684AE46-9609-4BE3-9184-68BB59CDD0A6}"/>
  </w:font>
  <w:font w:name="Play">
    <w:charset w:val="00"/>
    <w:family w:val="auto"/>
    <w:pitch w:val="default"/>
    <w:embedRegular r:id="rId3" w:fontKey="{FFC1497C-EBC0-45EA-8E1B-19AC72FC668B}"/>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E17D19F0-B067-49A8-88A1-ED0BAABBEB5A}"/>
    <w:embedBold r:id="rId5" w:fontKey="{27E041FD-EA33-4C12-8BE1-C914275598B0}"/>
  </w:font>
  <w:font w:name="Open Sans">
    <w:charset w:val="00"/>
    <w:family w:val="swiss"/>
    <w:pitch w:val="variable"/>
    <w:sig w:usb0="E00002EF" w:usb1="4000205B" w:usb2="00000028" w:usb3="00000000" w:csb0="0000019F" w:csb1="00000000"/>
    <w:embedRegular r:id="rId6" w:fontKey="{4FBC1AF0-42E4-4FAA-AEDD-D6500F792435}"/>
    <w:embedBold r:id="rId7" w:fontKey="{0BC97057-6914-4797-A7CC-DFA324364CF7}"/>
  </w:font>
  <w:font w:name="Calibri">
    <w:panose1 w:val="020F0502020204030204"/>
    <w:charset w:val="00"/>
    <w:family w:val="swiss"/>
    <w:pitch w:val="variable"/>
    <w:sig w:usb0="E4002EFF" w:usb1="C200247B" w:usb2="00000009" w:usb3="00000000" w:csb0="000001FF" w:csb1="00000000"/>
    <w:embedRegular r:id="rId8" w:fontKey="{3A3CA298-A626-455E-B637-2DBC4F14ED48}"/>
  </w:font>
  <w:font w:name="Cambria">
    <w:panose1 w:val="02040503050406030204"/>
    <w:charset w:val="00"/>
    <w:family w:val="roman"/>
    <w:pitch w:val="variable"/>
    <w:sig w:usb0="E00006FF" w:usb1="420024FF" w:usb2="02000000" w:usb3="00000000" w:csb0="0000019F" w:csb1="00000000"/>
    <w:embedRegular r:id="rId9" w:fontKey="{71813AAD-9D4B-4AA6-81D1-31BB91D4C78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71E"/>
    <w:rsid w:val="003C571E"/>
    <w:rsid w:val="008016E1"/>
    <w:rsid w:val="00D348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854926-5259-48C0-B85B-7B4AAF3CB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FP03Nv//3rzKx0H0zudBUS4vZA==">CgMxLjA4AHIhMTkzQzExM0tyUDhPVHlxUzVXTTB4aXZrOEpzUkN3ZHpn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1481</Words>
  <Characters>8444</Characters>
  <Application>Microsoft Office Word</Application>
  <DocSecurity>0</DocSecurity>
  <Lines>70</Lines>
  <Paragraphs>19</Paragraphs>
  <ScaleCrop>false</ScaleCrop>
  <Company>Department of Education</Company>
  <LinksUpToDate>false</LinksUpToDate>
  <CharactersWithSpaces>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2026-07-23T09:49:00Z</dcterms:created>
  <dcterms:modified xsi:type="dcterms:W3CDTF">2026-07-23T09:50:00Z</dcterms:modified>
</cp:coreProperties>
</file>