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70CA4" w:rsidRPr="003B1FB1" w:rsidRDefault="00000000">
      <w:pPr>
        <w:jc w:val="center"/>
        <w:rPr>
          <w:rFonts w:ascii="Univers" w:eastAsia="Open Sans" w:hAnsi="Univers" w:cs="Open Sans"/>
          <w:b/>
          <w:bCs/>
          <w:sz w:val="24"/>
          <w:szCs w:val="24"/>
        </w:rPr>
      </w:pPr>
      <w:r w:rsidRPr="003B1FB1">
        <w:rPr>
          <w:rFonts w:ascii="Univers" w:eastAsia="Open Sans" w:hAnsi="Univers" w:cs="Open Sans"/>
          <w:b/>
          <w:bCs/>
          <w:sz w:val="24"/>
          <w:szCs w:val="24"/>
        </w:rPr>
        <w:t>INSTITUTIONAL ACCOUNTABILITY &amp; PERFORMANCE-MONITORING GUIDELINES</w:t>
      </w:r>
    </w:p>
    <w:p w14:paraId="00000002" w14:textId="77777777" w:rsidR="00C70CA4" w:rsidRPr="003B1FB1" w:rsidRDefault="00C70CA4">
      <w:pPr>
        <w:rPr>
          <w:rFonts w:ascii="Univers" w:eastAsia="Open Sans" w:hAnsi="Univers" w:cs="Open Sans"/>
          <w:sz w:val="20"/>
          <w:szCs w:val="20"/>
        </w:rPr>
      </w:pPr>
    </w:p>
    <w:p w14:paraId="00000003" w14:textId="77777777" w:rsidR="00C70CA4" w:rsidRPr="003B1FB1" w:rsidRDefault="00000000">
      <w:pPr>
        <w:jc w:val="both"/>
        <w:rPr>
          <w:rFonts w:ascii="Univers" w:eastAsia="Open Sans" w:hAnsi="Univers" w:cs="Open Sans"/>
          <w:b/>
          <w:bCs/>
          <w:sz w:val="24"/>
          <w:szCs w:val="24"/>
        </w:rPr>
      </w:pPr>
      <w:r w:rsidRPr="003B1FB1">
        <w:rPr>
          <w:rFonts w:ascii="Univers" w:eastAsia="Open Sans" w:hAnsi="Univers" w:cs="Open Sans"/>
          <w:b/>
          <w:bCs/>
          <w:sz w:val="24"/>
          <w:szCs w:val="24"/>
        </w:rPr>
        <w:t>1. Purpose and Scope</w:t>
      </w:r>
    </w:p>
    <w:p w14:paraId="00000004" w14:textId="77777777" w:rsidR="00C70CA4" w:rsidRPr="003B1FB1" w:rsidRDefault="00C70CA4">
      <w:pPr>
        <w:jc w:val="both"/>
        <w:rPr>
          <w:rFonts w:ascii="Univers" w:eastAsia="Open Sans" w:hAnsi="Univers" w:cs="Open Sans"/>
          <w:b/>
          <w:bCs/>
          <w:sz w:val="20"/>
          <w:szCs w:val="20"/>
        </w:rPr>
      </w:pPr>
    </w:p>
    <w:p w14:paraId="00000005" w14:textId="77777777" w:rsidR="00C70CA4" w:rsidRPr="003B1FB1" w:rsidRDefault="00000000">
      <w:pPr>
        <w:jc w:val="both"/>
        <w:rPr>
          <w:rFonts w:ascii="Univers" w:eastAsia="Open Sans" w:hAnsi="Univers" w:cs="Open Sans"/>
          <w:sz w:val="20"/>
          <w:szCs w:val="20"/>
        </w:rPr>
      </w:pPr>
      <w:r w:rsidRPr="003B1FB1">
        <w:rPr>
          <w:rFonts w:ascii="Univers" w:eastAsia="Open Sans" w:hAnsi="Univers" w:cs="Open Sans"/>
          <w:sz w:val="20"/>
          <w:szCs w:val="20"/>
        </w:rPr>
        <w:t>This document sets out how the World Economic Chamber monitors its own institutional performance and holds its governance bodies accountable for the standards they are expected to uphold. It establishes the mechanisms through which performance is assessed, the criteria against which governance bodies are measured, and the process by which findings are acted upon. These guidelines apply across the Governing Council, Executive Leadership, the Executive Secretariat and Oversight &amp; Compliance Functions.</w:t>
      </w:r>
    </w:p>
    <w:p w14:paraId="00000006" w14:textId="77777777" w:rsidR="00C70CA4" w:rsidRPr="003B1FB1" w:rsidRDefault="00C70CA4">
      <w:pPr>
        <w:jc w:val="both"/>
        <w:rPr>
          <w:rFonts w:ascii="Univers" w:eastAsia="Open Sans" w:hAnsi="Univers" w:cs="Open Sans"/>
          <w:sz w:val="20"/>
          <w:szCs w:val="20"/>
        </w:rPr>
      </w:pPr>
    </w:p>
    <w:p w14:paraId="00000007" w14:textId="77777777" w:rsidR="00C70CA4" w:rsidRPr="003B1FB1" w:rsidRDefault="00000000">
      <w:pPr>
        <w:jc w:val="both"/>
        <w:rPr>
          <w:rFonts w:ascii="Univers" w:eastAsia="Open Sans" w:hAnsi="Univers" w:cs="Open Sans"/>
          <w:b/>
          <w:bCs/>
          <w:sz w:val="24"/>
          <w:szCs w:val="24"/>
        </w:rPr>
      </w:pPr>
      <w:r w:rsidRPr="003B1FB1">
        <w:rPr>
          <w:rFonts w:ascii="Univers" w:eastAsia="Open Sans" w:hAnsi="Univers" w:cs="Open Sans"/>
          <w:b/>
          <w:bCs/>
          <w:sz w:val="24"/>
          <w:szCs w:val="24"/>
        </w:rPr>
        <w:t>2. Accountability Principles</w:t>
      </w:r>
    </w:p>
    <w:p w14:paraId="00000008" w14:textId="77777777" w:rsidR="00C70CA4" w:rsidRPr="003B1FB1" w:rsidRDefault="00C70CA4">
      <w:pPr>
        <w:jc w:val="both"/>
        <w:rPr>
          <w:rFonts w:ascii="Univers" w:eastAsia="Open Sans" w:hAnsi="Univers" w:cs="Open Sans"/>
          <w:b/>
          <w:bCs/>
          <w:sz w:val="20"/>
          <w:szCs w:val="20"/>
        </w:rPr>
      </w:pPr>
    </w:p>
    <w:p w14:paraId="00000009" w14:textId="77777777" w:rsidR="00C70CA4" w:rsidRPr="003B1FB1" w:rsidRDefault="00000000">
      <w:pPr>
        <w:jc w:val="both"/>
        <w:rPr>
          <w:rFonts w:ascii="Univers" w:eastAsia="Open Sans" w:hAnsi="Univers" w:cs="Open Sans"/>
          <w:sz w:val="20"/>
          <w:szCs w:val="20"/>
        </w:rPr>
      </w:pPr>
      <w:r w:rsidRPr="003B1FB1">
        <w:rPr>
          <w:rFonts w:ascii="Univers" w:eastAsia="Open Sans" w:hAnsi="Univers" w:cs="Open Sans"/>
          <w:sz w:val="20"/>
          <w:szCs w:val="20"/>
        </w:rPr>
        <w:t>Institutional accountability within the Chamber rests on three principles: consistency, so that performance is assessed against the same standards regardless of which body or individual is under review; evidentiary basis, so that assessments are grounded in documented activity rather than impression; and proportionality, so that the intensity of monitoring and the response to findings reflect the significance of the matter at hand.</w:t>
      </w:r>
    </w:p>
    <w:p w14:paraId="0000000A" w14:textId="77777777" w:rsidR="00C70CA4" w:rsidRPr="003B1FB1" w:rsidRDefault="00C70CA4">
      <w:pPr>
        <w:jc w:val="both"/>
        <w:rPr>
          <w:rFonts w:ascii="Univers" w:eastAsia="Open Sans" w:hAnsi="Univers" w:cs="Open Sans"/>
          <w:sz w:val="20"/>
          <w:szCs w:val="20"/>
        </w:rPr>
      </w:pPr>
    </w:p>
    <w:p w14:paraId="0000000B" w14:textId="77777777" w:rsidR="00C70CA4" w:rsidRPr="003B1FB1" w:rsidRDefault="00000000">
      <w:pPr>
        <w:jc w:val="both"/>
        <w:rPr>
          <w:rFonts w:ascii="Univers" w:eastAsia="Open Sans" w:hAnsi="Univers" w:cs="Open Sans"/>
          <w:b/>
          <w:bCs/>
          <w:sz w:val="24"/>
          <w:szCs w:val="24"/>
        </w:rPr>
      </w:pPr>
      <w:r w:rsidRPr="003B1FB1">
        <w:rPr>
          <w:rFonts w:ascii="Univers" w:eastAsia="Open Sans" w:hAnsi="Univers" w:cs="Open Sans"/>
          <w:b/>
          <w:bCs/>
          <w:sz w:val="24"/>
          <w:szCs w:val="24"/>
        </w:rPr>
        <w:t>3. Performance Indicators</w:t>
      </w:r>
    </w:p>
    <w:p w14:paraId="0000000C" w14:textId="77777777" w:rsidR="00C70CA4" w:rsidRPr="003B1FB1" w:rsidRDefault="00C70CA4">
      <w:pPr>
        <w:jc w:val="both"/>
        <w:rPr>
          <w:rFonts w:ascii="Univers" w:eastAsia="Open Sans" w:hAnsi="Univers" w:cs="Open Sans"/>
          <w:b/>
          <w:bCs/>
          <w:sz w:val="20"/>
          <w:szCs w:val="20"/>
        </w:rPr>
      </w:pPr>
    </w:p>
    <w:p w14:paraId="0000000D" w14:textId="77777777" w:rsidR="00C70CA4" w:rsidRPr="003B1FB1" w:rsidRDefault="00000000">
      <w:pPr>
        <w:jc w:val="both"/>
        <w:rPr>
          <w:rFonts w:ascii="Univers" w:eastAsia="Open Sans" w:hAnsi="Univers" w:cs="Open Sans"/>
          <w:sz w:val="20"/>
          <w:szCs w:val="20"/>
        </w:rPr>
      </w:pPr>
      <w:r w:rsidRPr="003B1FB1">
        <w:rPr>
          <w:rFonts w:ascii="Univers" w:eastAsia="Open Sans" w:hAnsi="Univers" w:cs="Open Sans"/>
          <w:sz w:val="20"/>
          <w:szCs w:val="20"/>
        </w:rPr>
        <w:t>Institutional performance is monitored across several dimensions: adherence to governance protocols and decision-making procedures; the timeliness, accuracy and completeness of documentation and reporting; the discipline maintained in cross-border and regulatory engagement; the effectiveness with which risks are identified and escalated; and the consistency of institutional conduct with the Chamber's founding principles of integrity, independence and professionalism.</w:t>
      </w:r>
    </w:p>
    <w:p w14:paraId="0000000E" w14:textId="77777777" w:rsidR="00C70CA4" w:rsidRPr="003B1FB1" w:rsidRDefault="00C70CA4">
      <w:pPr>
        <w:jc w:val="both"/>
        <w:rPr>
          <w:rFonts w:ascii="Univers" w:eastAsia="Open Sans" w:hAnsi="Univers" w:cs="Open Sans"/>
          <w:sz w:val="20"/>
          <w:szCs w:val="20"/>
        </w:rPr>
      </w:pPr>
    </w:p>
    <w:p w14:paraId="0000000F" w14:textId="77777777" w:rsidR="00C70CA4" w:rsidRPr="003B1FB1" w:rsidRDefault="00000000">
      <w:pPr>
        <w:jc w:val="both"/>
        <w:rPr>
          <w:rFonts w:ascii="Univers" w:eastAsia="Open Sans" w:hAnsi="Univers" w:cs="Open Sans"/>
          <w:b/>
          <w:bCs/>
          <w:sz w:val="24"/>
          <w:szCs w:val="24"/>
        </w:rPr>
      </w:pPr>
      <w:r w:rsidRPr="003B1FB1">
        <w:rPr>
          <w:rFonts w:ascii="Univers" w:eastAsia="Open Sans" w:hAnsi="Univers" w:cs="Open Sans"/>
          <w:b/>
          <w:bCs/>
          <w:sz w:val="24"/>
          <w:szCs w:val="24"/>
        </w:rPr>
        <w:t>4. Monitoring Mechanisms</w:t>
      </w:r>
    </w:p>
    <w:p w14:paraId="00000010" w14:textId="77777777" w:rsidR="00C70CA4" w:rsidRPr="003B1FB1" w:rsidRDefault="00C70CA4">
      <w:pPr>
        <w:jc w:val="both"/>
        <w:rPr>
          <w:rFonts w:ascii="Univers" w:eastAsia="Open Sans" w:hAnsi="Univers" w:cs="Open Sans"/>
          <w:b/>
          <w:bCs/>
          <w:sz w:val="20"/>
          <w:szCs w:val="20"/>
        </w:rPr>
      </w:pPr>
    </w:p>
    <w:p w14:paraId="00000011" w14:textId="77777777" w:rsidR="00C70CA4" w:rsidRPr="003B1FB1" w:rsidRDefault="00000000">
      <w:pPr>
        <w:jc w:val="both"/>
        <w:rPr>
          <w:rFonts w:ascii="Univers" w:eastAsia="Open Sans" w:hAnsi="Univers" w:cs="Open Sans"/>
          <w:sz w:val="20"/>
          <w:szCs w:val="20"/>
        </w:rPr>
      </w:pPr>
      <w:r w:rsidRPr="003B1FB1">
        <w:rPr>
          <w:rFonts w:ascii="Univers" w:eastAsia="Open Sans" w:hAnsi="Univers" w:cs="Open Sans"/>
          <w:sz w:val="20"/>
          <w:szCs w:val="20"/>
        </w:rPr>
        <w:t>Performance monitoring is conducted through periodic review rather than continuous surveillance, preserving the operational independence of each governance body while ensuring meaningful oversight. Reviews draw on Secretariat documentation, oversight reports, escalation records and decision memoranda, allowing performance to be assessed against a verifiable record rather than self-reported summary.</w:t>
      </w:r>
    </w:p>
    <w:p w14:paraId="00000012" w14:textId="77777777" w:rsidR="00C70CA4" w:rsidRPr="003B1FB1" w:rsidRDefault="00C70CA4">
      <w:pPr>
        <w:jc w:val="both"/>
        <w:rPr>
          <w:rFonts w:ascii="Univers" w:eastAsia="Open Sans" w:hAnsi="Univers" w:cs="Open Sans"/>
          <w:sz w:val="20"/>
          <w:szCs w:val="20"/>
        </w:rPr>
      </w:pPr>
    </w:p>
    <w:p w14:paraId="00000013" w14:textId="77777777" w:rsidR="00C70CA4" w:rsidRPr="003B1FB1" w:rsidRDefault="00000000">
      <w:pPr>
        <w:jc w:val="both"/>
        <w:rPr>
          <w:rFonts w:ascii="Univers" w:eastAsia="Open Sans" w:hAnsi="Univers" w:cs="Open Sans"/>
          <w:b/>
          <w:bCs/>
          <w:sz w:val="24"/>
          <w:szCs w:val="24"/>
        </w:rPr>
      </w:pPr>
      <w:r w:rsidRPr="003B1FB1">
        <w:rPr>
          <w:rFonts w:ascii="Univers" w:eastAsia="Open Sans" w:hAnsi="Univers" w:cs="Open Sans"/>
          <w:b/>
          <w:bCs/>
          <w:sz w:val="24"/>
          <w:szCs w:val="24"/>
        </w:rPr>
        <w:t>5. Reporting and Escalation</w:t>
      </w:r>
    </w:p>
    <w:p w14:paraId="00000014" w14:textId="77777777" w:rsidR="00C70CA4" w:rsidRPr="003B1FB1" w:rsidRDefault="00C70CA4">
      <w:pPr>
        <w:jc w:val="both"/>
        <w:rPr>
          <w:rFonts w:ascii="Univers" w:eastAsia="Open Sans" w:hAnsi="Univers" w:cs="Open Sans"/>
          <w:b/>
          <w:bCs/>
          <w:sz w:val="20"/>
          <w:szCs w:val="20"/>
        </w:rPr>
      </w:pPr>
    </w:p>
    <w:p w14:paraId="00000015" w14:textId="77777777" w:rsidR="00C70CA4" w:rsidRPr="003B1FB1" w:rsidRDefault="00000000">
      <w:pPr>
        <w:jc w:val="both"/>
        <w:rPr>
          <w:rFonts w:ascii="Univers" w:eastAsia="Open Sans" w:hAnsi="Univers" w:cs="Open Sans"/>
          <w:sz w:val="20"/>
          <w:szCs w:val="20"/>
        </w:rPr>
      </w:pPr>
      <w:r w:rsidRPr="003B1FB1">
        <w:rPr>
          <w:rFonts w:ascii="Univers" w:eastAsia="Open Sans" w:hAnsi="Univers" w:cs="Open Sans"/>
          <w:sz w:val="20"/>
          <w:szCs w:val="20"/>
        </w:rPr>
        <w:t>Findings arising from performance monitoring are reported to the appropriate governance body according to their significance. Matters affecting operational effectiveness are directed to Executive Leadership; matters bearing on institutional neutrality, governance structure or long-term strategic alignment are escalated to the Governing Council. Any deficiency identified must be accompanied by a corrective action plan, with implementation tracked until resolution.</w:t>
      </w:r>
    </w:p>
    <w:p w14:paraId="0000001A" w14:textId="77777777" w:rsidR="00C70CA4" w:rsidRPr="003B1FB1" w:rsidRDefault="00C70CA4">
      <w:pPr>
        <w:jc w:val="both"/>
        <w:rPr>
          <w:rFonts w:ascii="Univers" w:eastAsia="Open Sans" w:hAnsi="Univers" w:cs="Open Sans"/>
          <w:sz w:val="20"/>
          <w:szCs w:val="20"/>
        </w:rPr>
      </w:pPr>
    </w:p>
    <w:p w14:paraId="0000001B" w14:textId="77777777" w:rsidR="00C70CA4" w:rsidRPr="003B1FB1" w:rsidRDefault="00000000">
      <w:pPr>
        <w:jc w:val="both"/>
        <w:rPr>
          <w:rFonts w:ascii="Univers" w:eastAsia="Open Sans" w:hAnsi="Univers" w:cs="Open Sans"/>
          <w:b/>
          <w:bCs/>
          <w:sz w:val="24"/>
          <w:szCs w:val="24"/>
        </w:rPr>
      </w:pPr>
      <w:r w:rsidRPr="003B1FB1">
        <w:rPr>
          <w:rFonts w:ascii="Univers" w:eastAsia="Open Sans" w:hAnsi="Univers" w:cs="Open Sans"/>
          <w:b/>
          <w:bCs/>
          <w:sz w:val="24"/>
          <w:szCs w:val="24"/>
        </w:rPr>
        <w:t>6. Continuous Institutional Improvement</w:t>
      </w:r>
    </w:p>
    <w:p w14:paraId="0000001C" w14:textId="77777777" w:rsidR="00C70CA4" w:rsidRPr="003B1FB1" w:rsidRDefault="00C70CA4">
      <w:pPr>
        <w:jc w:val="both"/>
        <w:rPr>
          <w:rFonts w:ascii="Univers" w:eastAsia="Open Sans" w:hAnsi="Univers" w:cs="Open Sans"/>
          <w:b/>
          <w:bCs/>
          <w:sz w:val="20"/>
          <w:szCs w:val="20"/>
        </w:rPr>
      </w:pPr>
    </w:p>
    <w:p w14:paraId="0000001D" w14:textId="77777777" w:rsidR="00C70CA4" w:rsidRPr="003B1FB1" w:rsidRDefault="00000000">
      <w:pPr>
        <w:jc w:val="both"/>
        <w:rPr>
          <w:rFonts w:ascii="Univers" w:eastAsia="Open Sans" w:hAnsi="Univers" w:cs="Open Sans"/>
          <w:sz w:val="20"/>
          <w:szCs w:val="20"/>
        </w:rPr>
      </w:pPr>
      <w:r w:rsidRPr="003B1FB1">
        <w:rPr>
          <w:rFonts w:ascii="Univers" w:eastAsia="Open Sans" w:hAnsi="Univers" w:cs="Open Sans"/>
          <w:sz w:val="20"/>
          <w:szCs w:val="20"/>
        </w:rPr>
        <w:t>Performance monitoring is treated as a mechanism for institutional refinement rather than a purely retrospective exercise. Findings inform adjustments to governance protocols, documentation practices and coordination procedures where recurring issues indicate a structural rather than isolated cause.</w:t>
      </w:r>
    </w:p>
    <w:p w14:paraId="0000001E" w14:textId="77777777" w:rsidR="00C70CA4" w:rsidRDefault="00C70CA4">
      <w:pPr>
        <w:jc w:val="both"/>
        <w:rPr>
          <w:rFonts w:ascii="Univers" w:eastAsia="Open Sans" w:hAnsi="Univers" w:cs="Open Sans"/>
          <w:sz w:val="20"/>
          <w:szCs w:val="20"/>
        </w:rPr>
      </w:pPr>
    </w:p>
    <w:p w14:paraId="381960E7" w14:textId="77777777" w:rsidR="003B1FB1" w:rsidRDefault="003B1FB1">
      <w:pPr>
        <w:jc w:val="both"/>
        <w:rPr>
          <w:rFonts w:ascii="Univers" w:eastAsia="Open Sans" w:hAnsi="Univers" w:cs="Open Sans"/>
          <w:sz w:val="20"/>
          <w:szCs w:val="20"/>
        </w:rPr>
      </w:pPr>
    </w:p>
    <w:p w14:paraId="6F1ADC6E" w14:textId="77777777" w:rsidR="003B1FB1" w:rsidRPr="003B1FB1" w:rsidRDefault="003B1FB1">
      <w:pPr>
        <w:jc w:val="both"/>
        <w:rPr>
          <w:rFonts w:ascii="Univers" w:eastAsia="Open Sans" w:hAnsi="Univers" w:cs="Open Sans"/>
          <w:sz w:val="20"/>
          <w:szCs w:val="20"/>
        </w:rPr>
      </w:pPr>
    </w:p>
    <w:p w14:paraId="0000001F" w14:textId="77777777" w:rsidR="00C70CA4" w:rsidRPr="003B1FB1" w:rsidRDefault="00000000">
      <w:pPr>
        <w:jc w:val="both"/>
        <w:rPr>
          <w:rFonts w:ascii="Univers" w:eastAsia="Open Sans" w:hAnsi="Univers" w:cs="Open Sans"/>
          <w:b/>
          <w:bCs/>
          <w:sz w:val="24"/>
          <w:szCs w:val="24"/>
        </w:rPr>
      </w:pPr>
      <w:r w:rsidRPr="003B1FB1">
        <w:rPr>
          <w:rFonts w:ascii="Univers" w:eastAsia="Open Sans" w:hAnsi="Univers" w:cs="Open Sans"/>
          <w:b/>
          <w:bCs/>
          <w:sz w:val="24"/>
          <w:szCs w:val="24"/>
        </w:rPr>
        <w:lastRenderedPageBreak/>
        <w:t>7. Alignment with Governance Framework</w:t>
      </w:r>
    </w:p>
    <w:p w14:paraId="00000020" w14:textId="77777777" w:rsidR="00C70CA4" w:rsidRPr="003B1FB1" w:rsidRDefault="00C70CA4">
      <w:pPr>
        <w:jc w:val="both"/>
        <w:rPr>
          <w:rFonts w:ascii="Univers" w:eastAsia="Open Sans" w:hAnsi="Univers" w:cs="Open Sans"/>
          <w:b/>
          <w:bCs/>
          <w:sz w:val="20"/>
          <w:szCs w:val="20"/>
        </w:rPr>
      </w:pPr>
    </w:p>
    <w:p w14:paraId="00000021" w14:textId="77777777" w:rsidR="00C70CA4" w:rsidRPr="003B1FB1" w:rsidRDefault="00000000">
      <w:pPr>
        <w:jc w:val="both"/>
        <w:rPr>
          <w:rFonts w:ascii="Univers" w:eastAsia="Open Sans" w:hAnsi="Univers" w:cs="Open Sans"/>
          <w:sz w:val="20"/>
          <w:szCs w:val="20"/>
        </w:rPr>
      </w:pPr>
      <w:r w:rsidRPr="003B1FB1">
        <w:rPr>
          <w:rFonts w:ascii="Univers" w:eastAsia="Open Sans" w:hAnsi="Univers" w:cs="Open Sans"/>
          <w:sz w:val="20"/>
          <w:szCs w:val="20"/>
        </w:rPr>
        <w:t>These guidelines reinforce the Chamber's broader commitment to disciplined self-governance. By measuring performance consistently, evidencing findings rigorously and acting on them systematically, the Chamber ensures that accountability is embedded in its institutional culture, rather than assumed by virtue of its founding principles alone.</w:t>
      </w:r>
    </w:p>
    <w:p w14:paraId="00000022" w14:textId="77777777" w:rsidR="00C70CA4" w:rsidRPr="003B1FB1" w:rsidRDefault="00C70CA4">
      <w:pPr>
        <w:rPr>
          <w:rFonts w:ascii="Univers" w:eastAsia="Open Sans" w:hAnsi="Univers" w:cs="Open Sans"/>
          <w:sz w:val="20"/>
          <w:szCs w:val="20"/>
        </w:rPr>
      </w:pPr>
    </w:p>
    <w:sectPr w:rsidR="00C70CA4" w:rsidRPr="003B1FB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763BD1B-2295-4F83-9807-0EA53C96A41E}"/>
    <w:embedItalic r:id="rId2" w:fontKey="{B2C551BC-FFD1-445B-BB90-4608728E397B}"/>
  </w:font>
  <w:font w:name="Play">
    <w:charset w:val="00"/>
    <w:family w:val="auto"/>
    <w:pitch w:val="default"/>
    <w:embedRegular r:id="rId3" w:fontKey="{9DF9BC43-3C6C-4BCD-95F3-B72DE48B8C58}"/>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0B6A76FE-DD98-4EE8-B017-C692C2936918}"/>
    <w:embedBold r:id="rId5" w:fontKey="{364DD837-A8B6-412B-94AF-E7A057D35EB3}"/>
  </w:font>
  <w:font w:name="Open Sans">
    <w:charset w:val="00"/>
    <w:family w:val="swiss"/>
    <w:pitch w:val="variable"/>
    <w:sig w:usb0="E00002EF" w:usb1="4000205B" w:usb2="00000028" w:usb3="00000000" w:csb0="0000019F" w:csb1="00000000"/>
    <w:embedRegular r:id="rId6" w:fontKey="{46F3EE2B-53FE-42CF-80EE-5584925FD067}"/>
    <w:embedBold r:id="rId7" w:fontKey="{A3DB0309-E04E-473E-A4BA-B1F9A092277A}"/>
  </w:font>
  <w:font w:name="Calibri">
    <w:panose1 w:val="020F0502020204030204"/>
    <w:charset w:val="00"/>
    <w:family w:val="swiss"/>
    <w:pitch w:val="variable"/>
    <w:sig w:usb0="E4002EFF" w:usb1="C200247B" w:usb2="00000009" w:usb3="00000000" w:csb0="000001FF" w:csb1="00000000"/>
    <w:embedRegular r:id="rId8" w:fontKey="{B64144BC-0D1E-4363-8ACB-AF749D5B1E94}"/>
  </w:font>
  <w:font w:name="Cambria">
    <w:panose1 w:val="02040503050406030204"/>
    <w:charset w:val="00"/>
    <w:family w:val="roman"/>
    <w:pitch w:val="variable"/>
    <w:sig w:usb0="E00006FF" w:usb1="420024FF" w:usb2="02000000" w:usb3="00000000" w:csb0="0000019F" w:csb1="00000000"/>
    <w:embedRegular r:id="rId9" w:fontKey="{BE03F65D-CD1F-4DC0-986E-DD42ADBC4E4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CA4"/>
    <w:rsid w:val="003B1FB1"/>
    <w:rsid w:val="00AA1B3A"/>
    <w:rsid w:val="00C70C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5EC99"/>
  <w15:docId w15:val="{343ECC58-36E0-48BB-8DF4-0372BBA7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U6S+p4jWrkI321IXLpnMgL+i9g==">CgMxLjA4AHIhMTVQaE40cjlaUVhKcWhuc0VxZDNVc3gzRlF1cU9lZUNi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2737</Characters>
  <Application>Microsoft Office Word</Application>
  <DocSecurity>0</DocSecurity>
  <Lines>22</Lines>
  <Paragraphs>6</Paragraphs>
  <ScaleCrop>false</ScaleCrop>
  <Company>Department of Education</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2026-07-23T09:08:00Z</dcterms:created>
  <dcterms:modified xsi:type="dcterms:W3CDTF">2026-07-23T09:08:00Z</dcterms:modified>
</cp:coreProperties>
</file>