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3757" w:rsidRPr="001F0289" w:rsidRDefault="00000000">
      <w:pPr>
        <w:jc w:val="center"/>
        <w:rPr>
          <w:rFonts w:ascii="Univers" w:eastAsia="Open Sans" w:hAnsi="Univers" w:cs="Open Sans"/>
          <w:b/>
          <w:bCs/>
          <w:sz w:val="24"/>
          <w:szCs w:val="24"/>
        </w:rPr>
      </w:pPr>
      <w:r w:rsidRPr="001F0289">
        <w:rPr>
          <w:rFonts w:ascii="Univers" w:eastAsia="Open Sans" w:hAnsi="Univers" w:cs="Open Sans"/>
          <w:b/>
          <w:bCs/>
          <w:sz w:val="24"/>
          <w:szCs w:val="24"/>
        </w:rPr>
        <w:t>INSTITUTIONAL INDEPENDENCE &amp; NEUTRALITY POLICY</w:t>
      </w:r>
    </w:p>
    <w:p w14:paraId="00000002" w14:textId="77777777" w:rsidR="002B3757" w:rsidRPr="001F0289" w:rsidRDefault="002B3757">
      <w:pPr>
        <w:jc w:val="both"/>
        <w:rPr>
          <w:rFonts w:ascii="Univers" w:eastAsia="Open Sans" w:hAnsi="Univers" w:cs="Open Sans"/>
          <w:sz w:val="20"/>
          <w:szCs w:val="20"/>
        </w:rPr>
      </w:pPr>
    </w:p>
    <w:p w14:paraId="00000003" w14:textId="77777777" w:rsidR="002B3757" w:rsidRPr="001F0289" w:rsidRDefault="00000000">
      <w:pPr>
        <w:jc w:val="both"/>
        <w:rPr>
          <w:rFonts w:ascii="Univers" w:eastAsia="Open Sans" w:hAnsi="Univers" w:cs="Open Sans"/>
          <w:b/>
          <w:bCs/>
          <w:sz w:val="24"/>
          <w:szCs w:val="24"/>
        </w:rPr>
      </w:pPr>
      <w:r w:rsidRPr="001F0289">
        <w:rPr>
          <w:rFonts w:ascii="Univers" w:eastAsia="Open Sans" w:hAnsi="Univers" w:cs="Open Sans"/>
          <w:b/>
          <w:bCs/>
          <w:sz w:val="24"/>
          <w:szCs w:val="24"/>
        </w:rPr>
        <w:t>1. Purpose and Scope</w:t>
      </w:r>
    </w:p>
    <w:p w14:paraId="00000004" w14:textId="77777777" w:rsidR="002B3757" w:rsidRPr="001F0289" w:rsidRDefault="002B3757">
      <w:pPr>
        <w:jc w:val="both"/>
        <w:rPr>
          <w:rFonts w:ascii="Univers" w:eastAsia="Open Sans" w:hAnsi="Univers" w:cs="Open Sans"/>
          <w:sz w:val="20"/>
          <w:szCs w:val="20"/>
        </w:rPr>
      </w:pPr>
    </w:p>
    <w:p w14:paraId="00000005" w14:textId="77777777" w:rsidR="002B3757" w:rsidRPr="001F0289" w:rsidRDefault="00000000">
      <w:pPr>
        <w:jc w:val="both"/>
        <w:rPr>
          <w:rFonts w:ascii="Univers" w:eastAsia="Open Sans" w:hAnsi="Univers" w:cs="Open Sans"/>
          <w:sz w:val="20"/>
          <w:szCs w:val="20"/>
        </w:rPr>
      </w:pPr>
      <w:r w:rsidRPr="001F0289">
        <w:rPr>
          <w:rFonts w:ascii="Univers" w:eastAsia="Open Sans" w:hAnsi="Univers" w:cs="Open Sans"/>
          <w:sz w:val="20"/>
          <w:szCs w:val="20"/>
        </w:rPr>
        <w:t>This policy sets the standards that protect the World Economic Chamber's independence and ensure that its conduct remains impartial across all jurisdictions in which it operates. It defines the boundaries of acceptable influence, the conduct expected of the Chamber's governance bodies and personnel, and the mechanisms through which neutrality is monitored and preserved. It applies to the Governing Council, Executive Leadership, the Executive Secretariat and all individuals acting on the Chamber's behalf.</w:t>
      </w:r>
    </w:p>
    <w:p w14:paraId="00000006" w14:textId="77777777" w:rsidR="002B3757" w:rsidRPr="001F0289" w:rsidRDefault="002B3757">
      <w:pPr>
        <w:jc w:val="both"/>
        <w:rPr>
          <w:rFonts w:ascii="Univers" w:eastAsia="Open Sans" w:hAnsi="Univers" w:cs="Open Sans"/>
          <w:sz w:val="20"/>
          <w:szCs w:val="20"/>
        </w:rPr>
      </w:pPr>
    </w:p>
    <w:p w14:paraId="00000007" w14:textId="77777777" w:rsidR="002B3757" w:rsidRPr="001F0289" w:rsidRDefault="00000000">
      <w:pPr>
        <w:jc w:val="both"/>
        <w:rPr>
          <w:rFonts w:ascii="Univers" w:eastAsia="Open Sans" w:hAnsi="Univers" w:cs="Open Sans"/>
          <w:b/>
          <w:bCs/>
          <w:sz w:val="24"/>
          <w:szCs w:val="24"/>
        </w:rPr>
      </w:pPr>
      <w:r w:rsidRPr="001F0289">
        <w:rPr>
          <w:rFonts w:ascii="Univers" w:eastAsia="Open Sans" w:hAnsi="Univers" w:cs="Open Sans"/>
          <w:b/>
          <w:bCs/>
          <w:sz w:val="24"/>
          <w:szCs w:val="24"/>
        </w:rPr>
        <w:t>2. Rationale for Independence</w:t>
      </w:r>
    </w:p>
    <w:p w14:paraId="00000008" w14:textId="77777777" w:rsidR="002B3757" w:rsidRPr="001F0289" w:rsidRDefault="002B3757">
      <w:pPr>
        <w:jc w:val="both"/>
        <w:rPr>
          <w:rFonts w:ascii="Univers" w:eastAsia="Open Sans" w:hAnsi="Univers" w:cs="Open Sans"/>
          <w:sz w:val="20"/>
          <w:szCs w:val="20"/>
        </w:rPr>
      </w:pPr>
    </w:p>
    <w:p w14:paraId="00000009" w14:textId="77777777" w:rsidR="002B3757" w:rsidRPr="001F0289" w:rsidRDefault="00000000">
      <w:pPr>
        <w:jc w:val="both"/>
        <w:rPr>
          <w:rFonts w:ascii="Univers" w:eastAsia="Open Sans" w:hAnsi="Univers" w:cs="Open Sans"/>
          <w:sz w:val="20"/>
          <w:szCs w:val="20"/>
        </w:rPr>
      </w:pPr>
      <w:r w:rsidRPr="001F0289">
        <w:rPr>
          <w:rFonts w:ascii="Univers" w:eastAsia="Open Sans" w:hAnsi="Univers" w:cs="Open Sans"/>
          <w:sz w:val="20"/>
          <w:szCs w:val="20"/>
        </w:rPr>
        <w:t>An institution engaging with multinational corporations, government bodies and NGOs across diverse regulatory environments can only sustain credibility if its judgement is not, and cannot reasonably be perceived to be, shaped by any single commercial, political or sectoral interest. Independence is therefore treated not as an aspiration but as an operating constraint that governs how the Chamber conducts every aspect of its work, from policy positions to member engagement.</w:t>
      </w:r>
    </w:p>
    <w:p w14:paraId="0000000A" w14:textId="77777777" w:rsidR="002B3757" w:rsidRPr="001F0289" w:rsidRDefault="002B3757">
      <w:pPr>
        <w:jc w:val="both"/>
        <w:rPr>
          <w:rFonts w:ascii="Univers" w:eastAsia="Open Sans" w:hAnsi="Univers" w:cs="Open Sans"/>
          <w:sz w:val="20"/>
          <w:szCs w:val="20"/>
        </w:rPr>
      </w:pPr>
    </w:p>
    <w:p w14:paraId="0000000B" w14:textId="77777777" w:rsidR="002B3757" w:rsidRPr="001F0289" w:rsidRDefault="00000000">
      <w:pPr>
        <w:jc w:val="both"/>
        <w:rPr>
          <w:rFonts w:ascii="Univers" w:eastAsia="Open Sans" w:hAnsi="Univers" w:cs="Open Sans"/>
          <w:b/>
          <w:bCs/>
          <w:sz w:val="24"/>
          <w:szCs w:val="24"/>
        </w:rPr>
      </w:pPr>
      <w:r w:rsidRPr="001F0289">
        <w:rPr>
          <w:rFonts w:ascii="Univers" w:eastAsia="Open Sans" w:hAnsi="Univers" w:cs="Open Sans"/>
          <w:b/>
          <w:bCs/>
          <w:sz w:val="24"/>
          <w:szCs w:val="24"/>
        </w:rPr>
        <w:t>3. Sources of Influence Risk</w:t>
      </w:r>
    </w:p>
    <w:p w14:paraId="0000000C" w14:textId="77777777" w:rsidR="002B3757" w:rsidRPr="001F0289" w:rsidRDefault="002B3757">
      <w:pPr>
        <w:jc w:val="both"/>
        <w:rPr>
          <w:rFonts w:ascii="Univers" w:eastAsia="Open Sans" w:hAnsi="Univers" w:cs="Open Sans"/>
          <w:sz w:val="20"/>
          <w:szCs w:val="20"/>
        </w:rPr>
      </w:pPr>
    </w:p>
    <w:p w14:paraId="0000000D" w14:textId="77777777" w:rsidR="002B3757" w:rsidRPr="001F0289" w:rsidRDefault="00000000">
      <w:pPr>
        <w:jc w:val="both"/>
        <w:rPr>
          <w:rFonts w:ascii="Univers" w:eastAsia="Open Sans" w:hAnsi="Univers" w:cs="Open Sans"/>
          <w:sz w:val="20"/>
          <w:szCs w:val="20"/>
        </w:rPr>
      </w:pPr>
      <w:r w:rsidRPr="001F0289">
        <w:rPr>
          <w:rFonts w:ascii="Univers" w:eastAsia="Open Sans" w:hAnsi="Univers" w:cs="Open Sans"/>
          <w:sz w:val="20"/>
          <w:szCs w:val="20"/>
        </w:rPr>
        <w:t>The policy identifies the principal risks to institutional neutrality: financial or commercial dependence on any individual member or narrow group of members; political affiliation or perceived alignment with a particular government or bloc; sector concentration that could position the Chamber as an advocate for one industry over another; and personal conflicts of interest arising from the external roles or relationships of leadership and Secretariat personnel.</w:t>
      </w:r>
    </w:p>
    <w:p w14:paraId="0000000E" w14:textId="77777777" w:rsidR="002B3757" w:rsidRPr="001F0289" w:rsidRDefault="002B3757">
      <w:pPr>
        <w:jc w:val="both"/>
        <w:rPr>
          <w:rFonts w:ascii="Univers" w:eastAsia="Open Sans" w:hAnsi="Univers" w:cs="Open Sans"/>
          <w:sz w:val="20"/>
          <w:szCs w:val="20"/>
        </w:rPr>
      </w:pPr>
    </w:p>
    <w:p w14:paraId="0000000F" w14:textId="77777777" w:rsidR="002B3757" w:rsidRPr="001F0289" w:rsidRDefault="00000000">
      <w:pPr>
        <w:jc w:val="both"/>
        <w:rPr>
          <w:rFonts w:ascii="Univers" w:eastAsia="Open Sans" w:hAnsi="Univers" w:cs="Open Sans"/>
          <w:b/>
          <w:bCs/>
          <w:sz w:val="24"/>
          <w:szCs w:val="24"/>
        </w:rPr>
      </w:pPr>
      <w:r w:rsidRPr="001F0289">
        <w:rPr>
          <w:rFonts w:ascii="Univers" w:eastAsia="Open Sans" w:hAnsi="Univers" w:cs="Open Sans"/>
          <w:b/>
          <w:bCs/>
          <w:sz w:val="24"/>
          <w:szCs w:val="24"/>
        </w:rPr>
        <w:t>4. Safeguards</w:t>
      </w:r>
    </w:p>
    <w:p w14:paraId="00000010" w14:textId="77777777" w:rsidR="002B3757" w:rsidRPr="001F0289" w:rsidRDefault="002B3757">
      <w:pPr>
        <w:jc w:val="both"/>
        <w:rPr>
          <w:rFonts w:ascii="Univers" w:eastAsia="Open Sans" w:hAnsi="Univers" w:cs="Open Sans"/>
          <w:sz w:val="20"/>
          <w:szCs w:val="20"/>
        </w:rPr>
      </w:pPr>
    </w:p>
    <w:p w14:paraId="00000011" w14:textId="77777777" w:rsidR="002B3757" w:rsidRPr="001F0289" w:rsidRDefault="00000000">
      <w:pPr>
        <w:jc w:val="both"/>
        <w:rPr>
          <w:rFonts w:ascii="Univers" w:eastAsia="Open Sans" w:hAnsi="Univers" w:cs="Open Sans"/>
          <w:sz w:val="20"/>
          <w:szCs w:val="20"/>
        </w:rPr>
      </w:pPr>
      <w:r w:rsidRPr="001F0289">
        <w:rPr>
          <w:rFonts w:ascii="Univers" w:eastAsia="Open Sans" w:hAnsi="Univers" w:cs="Open Sans"/>
          <w:sz w:val="20"/>
          <w:szCs w:val="20"/>
        </w:rPr>
        <w:t>To manage these risks, the Chamber applies structural and procedural safeguards. Governance bodies are required to disclose potential conflicts of interest as they arise, and to recuse themselves from matters where such conflicts exist. Engagement with members, regulators and partner institutions is conducted according to standards that prevent any single relationship from shaping institutional positions. Oversight &amp; Compliance Functions monitor adherence to these safeguards on an ongoing basis, consistent with the Oversight Responsibilities &amp; Accountability Standards.</w:t>
      </w:r>
    </w:p>
    <w:p w14:paraId="00000012" w14:textId="77777777" w:rsidR="002B3757" w:rsidRPr="001F0289" w:rsidRDefault="002B3757">
      <w:pPr>
        <w:jc w:val="both"/>
        <w:rPr>
          <w:rFonts w:ascii="Univers" w:eastAsia="Open Sans" w:hAnsi="Univers" w:cs="Open Sans"/>
          <w:sz w:val="20"/>
          <w:szCs w:val="20"/>
        </w:rPr>
      </w:pPr>
    </w:p>
    <w:p w14:paraId="00000013" w14:textId="77777777" w:rsidR="002B3757" w:rsidRPr="001F0289" w:rsidRDefault="00000000">
      <w:pPr>
        <w:jc w:val="both"/>
        <w:rPr>
          <w:rFonts w:ascii="Univers" w:eastAsia="Open Sans" w:hAnsi="Univers" w:cs="Open Sans"/>
          <w:b/>
          <w:bCs/>
          <w:sz w:val="24"/>
          <w:szCs w:val="24"/>
        </w:rPr>
      </w:pPr>
      <w:r w:rsidRPr="001F0289">
        <w:rPr>
          <w:rFonts w:ascii="Univers" w:eastAsia="Open Sans" w:hAnsi="Univers" w:cs="Open Sans"/>
          <w:b/>
          <w:bCs/>
          <w:sz w:val="24"/>
          <w:szCs w:val="24"/>
        </w:rPr>
        <w:t>5. Conduct Expectations</w:t>
      </w:r>
    </w:p>
    <w:p w14:paraId="00000014" w14:textId="77777777" w:rsidR="002B3757" w:rsidRPr="001F0289" w:rsidRDefault="002B3757">
      <w:pPr>
        <w:jc w:val="both"/>
        <w:rPr>
          <w:rFonts w:ascii="Univers" w:eastAsia="Open Sans" w:hAnsi="Univers" w:cs="Open Sans"/>
          <w:sz w:val="20"/>
          <w:szCs w:val="20"/>
        </w:rPr>
      </w:pPr>
    </w:p>
    <w:p w14:paraId="00000019" w14:textId="30A862CA" w:rsidR="002B3757" w:rsidRPr="001F0289" w:rsidRDefault="00000000">
      <w:pPr>
        <w:jc w:val="both"/>
        <w:rPr>
          <w:rFonts w:ascii="Univers" w:eastAsia="Open Sans" w:hAnsi="Univers" w:cs="Open Sans"/>
          <w:sz w:val="20"/>
          <w:szCs w:val="20"/>
        </w:rPr>
      </w:pPr>
      <w:r w:rsidRPr="001F0289">
        <w:rPr>
          <w:rFonts w:ascii="Univers" w:eastAsia="Open Sans" w:hAnsi="Univers" w:cs="Open Sans"/>
          <w:sz w:val="20"/>
          <w:szCs w:val="20"/>
        </w:rPr>
        <w:t xml:space="preserve">All individuals acting in a governance or representative capacity for the Chamber are expected to exercise judgement free from external pressure, to decline engagements that could compromise or appear to compromise neutrality, and to report any attempt at undue influence </w:t>
      </w:r>
      <w:r w:rsidR="001F0289" w:rsidRPr="001F0289">
        <w:rPr>
          <w:rFonts w:ascii="Univers" w:eastAsia="Open Sans" w:hAnsi="Univers" w:cs="Open Sans"/>
          <w:sz w:val="20"/>
          <w:szCs w:val="20"/>
        </w:rPr>
        <w:t>on</w:t>
      </w:r>
      <w:r w:rsidRPr="001F0289">
        <w:rPr>
          <w:rFonts w:ascii="Univers" w:eastAsia="Open Sans" w:hAnsi="Univers" w:cs="Open Sans"/>
          <w:sz w:val="20"/>
          <w:szCs w:val="20"/>
        </w:rPr>
        <w:t xml:space="preserve"> the appropriate oversight function without delay.</w:t>
      </w:r>
    </w:p>
    <w:p w14:paraId="0000001A" w14:textId="77777777" w:rsidR="002B3757" w:rsidRPr="001F0289" w:rsidRDefault="002B3757">
      <w:pPr>
        <w:jc w:val="both"/>
        <w:rPr>
          <w:rFonts w:ascii="Univers" w:eastAsia="Open Sans" w:hAnsi="Univers" w:cs="Open Sans"/>
          <w:sz w:val="20"/>
          <w:szCs w:val="20"/>
        </w:rPr>
      </w:pPr>
    </w:p>
    <w:p w14:paraId="0000001B" w14:textId="77777777" w:rsidR="002B3757" w:rsidRPr="001F0289" w:rsidRDefault="00000000">
      <w:pPr>
        <w:jc w:val="both"/>
        <w:rPr>
          <w:rFonts w:ascii="Univers" w:eastAsia="Open Sans" w:hAnsi="Univers" w:cs="Open Sans"/>
          <w:b/>
          <w:bCs/>
          <w:sz w:val="24"/>
          <w:szCs w:val="24"/>
        </w:rPr>
      </w:pPr>
      <w:r w:rsidRPr="001F0289">
        <w:rPr>
          <w:rFonts w:ascii="Univers" w:eastAsia="Open Sans" w:hAnsi="Univers" w:cs="Open Sans"/>
          <w:b/>
          <w:bCs/>
          <w:sz w:val="24"/>
          <w:szCs w:val="24"/>
        </w:rPr>
        <w:t>6. Monitoring and Enforcement</w:t>
      </w:r>
    </w:p>
    <w:p w14:paraId="0000001C" w14:textId="77777777" w:rsidR="002B3757" w:rsidRPr="001F0289" w:rsidRDefault="002B3757">
      <w:pPr>
        <w:jc w:val="both"/>
        <w:rPr>
          <w:rFonts w:ascii="Univers" w:eastAsia="Open Sans" w:hAnsi="Univers" w:cs="Open Sans"/>
          <w:b/>
          <w:bCs/>
          <w:sz w:val="24"/>
          <w:szCs w:val="24"/>
        </w:rPr>
      </w:pPr>
    </w:p>
    <w:p w14:paraId="0000001D" w14:textId="77777777" w:rsidR="002B3757" w:rsidRPr="001F0289" w:rsidRDefault="00000000">
      <w:pPr>
        <w:jc w:val="both"/>
        <w:rPr>
          <w:rFonts w:ascii="Univers" w:eastAsia="Open Sans" w:hAnsi="Univers" w:cs="Open Sans"/>
          <w:sz w:val="20"/>
          <w:szCs w:val="20"/>
        </w:rPr>
      </w:pPr>
      <w:r w:rsidRPr="001F0289">
        <w:rPr>
          <w:rFonts w:ascii="Univers" w:eastAsia="Open Sans" w:hAnsi="Univers" w:cs="Open Sans"/>
          <w:sz w:val="20"/>
          <w:szCs w:val="20"/>
        </w:rPr>
        <w:t>Breaches of this policy are addressed through the Chamber's escalation and accountability procedures. Findings are documented, remediation is tracked to completion, and, where warranted, matters are referred to the Governing Council for further action.</w:t>
      </w:r>
    </w:p>
    <w:p w14:paraId="0000001E" w14:textId="77777777" w:rsidR="002B3757" w:rsidRDefault="002B3757">
      <w:pPr>
        <w:jc w:val="both"/>
        <w:rPr>
          <w:rFonts w:ascii="Univers" w:eastAsia="Open Sans" w:hAnsi="Univers" w:cs="Open Sans"/>
          <w:sz w:val="20"/>
          <w:szCs w:val="20"/>
        </w:rPr>
      </w:pPr>
    </w:p>
    <w:p w14:paraId="002B30F0" w14:textId="77777777" w:rsidR="001F0289" w:rsidRDefault="001F0289">
      <w:pPr>
        <w:jc w:val="both"/>
        <w:rPr>
          <w:rFonts w:ascii="Univers" w:eastAsia="Open Sans" w:hAnsi="Univers" w:cs="Open Sans"/>
          <w:sz w:val="20"/>
          <w:szCs w:val="20"/>
        </w:rPr>
      </w:pPr>
    </w:p>
    <w:p w14:paraId="0A8DF03E" w14:textId="77777777" w:rsidR="001F0289" w:rsidRDefault="001F0289">
      <w:pPr>
        <w:jc w:val="both"/>
        <w:rPr>
          <w:rFonts w:ascii="Univers" w:eastAsia="Open Sans" w:hAnsi="Univers" w:cs="Open Sans"/>
          <w:sz w:val="20"/>
          <w:szCs w:val="20"/>
        </w:rPr>
      </w:pPr>
    </w:p>
    <w:p w14:paraId="5BB4B4CE" w14:textId="77777777" w:rsidR="001F0289" w:rsidRPr="001F0289" w:rsidRDefault="001F0289">
      <w:pPr>
        <w:jc w:val="both"/>
        <w:rPr>
          <w:rFonts w:ascii="Univers" w:eastAsia="Open Sans" w:hAnsi="Univers" w:cs="Open Sans"/>
          <w:sz w:val="20"/>
          <w:szCs w:val="20"/>
        </w:rPr>
      </w:pPr>
    </w:p>
    <w:p w14:paraId="0000001F" w14:textId="77777777" w:rsidR="002B3757" w:rsidRPr="001F0289" w:rsidRDefault="00000000">
      <w:pPr>
        <w:jc w:val="both"/>
        <w:rPr>
          <w:rFonts w:ascii="Univers" w:eastAsia="Open Sans" w:hAnsi="Univers" w:cs="Open Sans"/>
          <w:b/>
          <w:bCs/>
          <w:sz w:val="24"/>
          <w:szCs w:val="24"/>
        </w:rPr>
      </w:pPr>
      <w:r w:rsidRPr="001F0289">
        <w:rPr>
          <w:rFonts w:ascii="Univers" w:eastAsia="Open Sans" w:hAnsi="Univers" w:cs="Open Sans"/>
          <w:b/>
          <w:bCs/>
          <w:sz w:val="24"/>
          <w:szCs w:val="24"/>
        </w:rPr>
        <w:lastRenderedPageBreak/>
        <w:t>7. Alignment with Governance Framework</w:t>
      </w:r>
    </w:p>
    <w:p w14:paraId="00000020" w14:textId="77777777" w:rsidR="002B3757" w:rsidRPr="001F0289" w:rsidRDefault="002B3757">
      <w:pPr>
        <w:jc w:val="both"/>
        <w:rPr>
          <w:rFonts w:ascii="Univers" w:eastAsia="Open Sans" w:hAnsi="Univers" w:cs="Open Sans"/>
          <w:sz w:val="20"/>
          <w:szCs w:val="20"/>
        </w:rPr>
      </w:pPr>
    </w:p>
    <w:p w14:paraId="00000021" w14:textId="77777777" w:rsidR="002B3757" w:rsidRPr="001F0289" w:rsidRDefault="00000000">
      <w:pPr>
        <w:jc w:val="both"/>
        <w:rPr>
          <w:rFonts w:ascii="Univers" w:eastAsia="Open Sans" w:hAnsi="Univers" w:cs="Open Sans"/>
          <w:sz w:val="20"/>
          <w:szCs w:val="20"/>
        </w:rPr>
      </w:pPr>
      <w:r w:rsidRPr="001F0289">
        <w:rPr>
          <w:rFonts w:ascii="Univers" w:eastAsia="Open Sans" w:hAnsi="Univers" w:cs="Open Sans"/>
          <w:sz w:val="20"/>
          <w:szCs w:val="20"/>
        </w:rPr>
        <w:t>This policy underpins the credibility of every function the Chamber performs. Independence and neutrality are not incidental characteristics of the institution; they are the condition on which its role as a trusted cross-border counterpart depends.</w:t>
      </w:r>
    </w:p>
    <w:p w14:paraId="00000022" w14:textId="77777777" w:rsidR="002B3757" w:rsidRPr="001F0289" w:rsidRDefault="002B3757">
      <w:pPr>
        <w:jc w:val="both"/>
        <w:rPr>
          <w:rFonts w:ascii="Univers" w:eastAsia="Open Sans" w:hAnsi="Univers" w:cs="Open Sans"/>
          <w:sz w:val="20"/>
          <w:szCs w:val="20"/>
        </w:rPr>
      </w:pPr>
    </w:p>
    <w:p w14:paraId="00000023" w14:textId="77777777" w:rsidR="002B3757" w:rsidRPr="001F0289" w:rsidRDefault="002B3757">
      <w:pPr>
        <w:jc w:val="both"/>
        <w:rPr>
          <w:rFonts w:ascii="Univers" w:eastAsia="Open Sans" w:hAnsi="Univers" w:cs="Open Sans"/>
          <w:sz w:val="20"/>
          <w:szCs w:val="20"/>
        </w:rPr>
      </w:pPr>
    </w:p>
    <w:p w14:paraId="00000024" w14:textId="77777777" w:rsidR="002B3757" w:rsidRPr="001F0289" w:rsidRDefault="002B3757">
      <w:pPr>
        <w:rPr>
          <w:rFonts w:ascii="Univers" w:eastAsia="Open Sans" w:hAnsi="Univers" w:cs="Open Sans"/>
          <w:sz w:val="20"/>
          <w:szCs w:val="20"/>
        </w:rPr>
      </w:pPr>
    </w:p>
    <w:sectPr w:rsidR="002B3757" w:rsidRPr="001F028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9455AD8E-77CC-48AF-9625-58679FE88B22}"/>
    <w:embedItalic r:id="rId2" w:fontKey="{AEFC68E1-D1F3-422C-B0FF-68CB2F6A1EBB}"/>
  </w:font>
  <w:font w:name="Play">
    <w:charset w:val="00"/>
    <w:family w:val="auto"/>
    <w:pitch w:val="default"/>
    <w:embedRegular r:id="rId3" w:fontKey="{311B9B17-5F09-4F15-AC6D-7B7DFCB2F4F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B47FBCE7-6E94-4DF5-A099-54C1F372CCA8}"/>
    <w:embedBold r:id="rId5" w:fontKey="{F0815D70-826A-43FB-9D29-10F6C85901C5}"/>
  </w:font>
  <w:font w:name="Open Sans">
    <w:charset w:val="00"/>
    <w:family w:val="swiss"/>
    <w:pitch w:val="variable"/>
    <w:sig w:usb0="E00002EF" w:usb1="4000205B" w:usb2="00000028" w:usb3="00000000" w:csb0="0000019F" w:csb1="00000000"/>
    <w:embedRegular r:id="rId6" w:fontKey="{C062C82A-D582-4FD6-8A7C-C22DD2154970}"/>
    <w:embedBold r:id="rId7" w:fontKey="{41C77E2F-0F23-4A86-8C77-221A58D899E7}"/>
  </w:font>
  <w:font w:name="Calibri">
    <w:panose1 w:val="020F0502020204030204"/>
    <w:charset w:val="00"/>
    <w:family w:val="swiss"/>
    <w:pitch w:val="variable"/>
    <w:sig w:usb0="E4002EFF" w:usb1="C200247B" w:usb2="00000009" w:usb3="00000000" w:csb0="000001FF" w:csb1="00000000"/>
    <w:embedRegular r:id="rId8" w:fontKey="{3CC32900-C449-4883-BD06-AB68FEDE46A7}"/>
  </w:font>
  <w:font w:name="Cambria">
    <w:panose1 w:val="02040503050406030204"/>
    <w:charset w:val="00"/>
    <w:family w:val="roman"/>
    <w:pitch w:val="variable"/>
    <w:sig w:usb0="E00006FF" w:usb1="420024FF" w:usb2="02000000" w:usb3="00000000" w:csb0="0000019F" w:csb1="00000000"/>
    <w:embedRegular r:id="rId9" w:fontKey="{713BBA7C-86C3-49EE-BED1-4E31FEA7028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757"/>
    <w:rsid w:val="001F0289"/>
    <w:rsid w:val="002B3757"/>
    <w:rsid w:val="00F026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EFE9"/>
  <w15:docId w15:val="{9821049B-FA46-4DB4-95DF-2D839A8A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V7+tZa88f4xKy/ua8uxU3ZeuQ==">CgMxLjA4AHIhMUlhcWhCY3M5TFNpYU45anJXNlFEQmtZZ09qenB6V013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2647</Characters>
  <Application>Microsoft Office Word</Application>
  <DocSecurity>0</DocSecurity>
  <Lines>22</Lines>
  <Paragraphs>6</Paragraphs>
  <ScaleCrop>false</ScaleCrop>
  <Company>Department of Education</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2026-07-23T09:09:00Z</dcterms:created>
  <dcterms:modified xsi:type="dcterms:W3CDTF">2026-07-23T09:09:00Z</dcterms:modified>
</cp:coreProperties>
</file>