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10D18" w:rsidRPr="0089755A" w:rsidRDefault="00000000">
      <w:pPr>
        <w:jc w:val="center"/>
        <w:rPr>
          <w:rFonts w:ascii="Univers" w:eastAsia="Open Sans" w:hAnsi="Univers" w:cs="Open Sans"/>
          <w:b/>
          <w:bCs/>
          <w:sz w:val="24"/>
          <w:szCs w:val="24"/>
        </w:rPr>
      </w:pPr>
      <w:r w:rsidRPr="0089755A">
        <w:rPr>
          <w:rFonts w:ascii="Univers" w:eastAsia="Open Sans" w:hAnsi="Univers" w:cs="Open Sans"/>
          <w:b/>
          <w:bCs/>
          <w:sz w:val="24"/>
          <w:szCs w:val="24"/>
        </w:rPr>
        <w:t>REGULATORY ENGAGEMENT STANDARDS</w:t>
      </w:r>
    </w:p>
    <w:p w14:paraId="00000002" w14:textId="77777777" w:rsidR="00610D18" w:rsidRPr="0089755A" w:rsidRDefault="00610D18">
      <w:pPr>
        <w:jc w:val="both"/>
        <w:rPr>
          <w:rFonts w:ascii="Univers" w:eastAsia="Open Sans" w:hAnsi="Univers" w:cs="Open Sans"/>
          <w:b/>
          <w:bCs/>
          <w:sz w:val="20"/>
          <w:szCs w:val="20"/>
        </w:rPr>
      </w:pPr>
    </w:p>
    <w:p w14:paraId="00000003" w14:textId="77777777" w:rsidR="00610D18" w:rsidRPr="0089755A" w:rsidRDefault="00000000">
      <w:pPr>
        <w:jc w:val="both"/>
        <w:rPr>
          <w:rFonts w:ascii="Univers" w:eastAsia="Open Sans" w:hAnsi="Univers" w:cs="Open Sans"/>
          <w:b/>
          <w:bCs/>
          <w:sz w:val="24"/>
          <w:szCs w:val="24"/>
        </w:rPr>
      </w:pPr>
      <w:r w:rsidRPr="0089755A">
        <w:rPr>
          <w:rFonts w:ascii="Univers" w:eastAsia="Open Sans" w:hAnsi="Univers" w:cs="Open Sans"/>
          <w:b/>
          <w:bCs/>
          <w:sz w:val="24"/>
          <w:szCs w:val="24"/>
        </w:rPr>
        <w:t>1. Purpose and Scope</w:t>
      </w:r>
    </w:p>
    <w:p w14:paraId="00000004" w14:textId="77777777" w:rsidR="00610D18" w:rsidRPr="0089755A" w:rsidRDefault="00610D18">
      <w:pPr>
        <w:jc w:val="both"/>
        <w:rPr>
          <w:rFonts w:ascii="Univers" w:eastAsia="Open Sans" w:hAnsi="Univers" w:cs="Open Sans"/>
          <w:sz w:val="20"/>
          <w:szCs w:val="20"/>
        </w:rPr>
      </w:pPr>
    </w:p>
    <w:p w14:paraId="00000005" w14:textId="77777777" w:rsidR="00610D18" w:rsidRPr="0089755A" w:rsidRDefault="00000000">
      <w:pPr>
        <w:jc w:val="both"/>
        <w:rPr>
          <w:rFonts w:ascii="Univers" w:eastAsia="Open Sans" w:hAnsi="Univers" w:cs="Open Sans"/>
          <w:sz w:val="20"/>
          <w:szCs w:val="20"/>
        </w:rPr>
      </w:pPr>
      <w:r w:rsidRPr="0089755A">
        <w:rPr>
          <w:rFonts w:ascii="Univers" w:eastAsia="Open Sans" w:hAnsi="Univers" w:cs="Open Sans"/>
          <w:sz w:val="20"/>
          <w:szCs w:val="20"/>
        </w:rPr>
        <w:t>This document sets out the standards that govern how the World Economic Chamber interacts with domestic and international regulators. It defines the principles, conduct expectations and procedural safeguards that apply whenever the Chamber, through its Governing Council, Executive Leadership or Executive Secretariat, engages with a regulatory authority, whether through formal consultation, informal dialogue, submission or correspondence.</w:t>
      </w:r>
    </w:p>
    <w:p w14:paraId="00000006" w14:textId="77777777" w:rsidR="00610D18" w:rsidRPr="0089755A" w:rsidRDefault="00610D18">
      <w:pPr>
        <w:jc w:val="both"/>
        <w:rPr>
          <w:rFonts w:ascii="Univers" w:eastAsia="Open Sans" w:hAnsi="Univers" w:cs="Open Sans"/>
          <w:b/>
          <w:bCs/>
          <w:sz w:val="20"/>
          <w:szCs w:val="20"/>
        </w:rPr>
      </w:pPr>
    </w:p>
    <w:p w14:paraId="00000007" w14:textId="77777777" w:rsidR="00610D18" w:rsidRPr="0089755A" w:rsidRDefault="00000000">
      <w:pPr>
        <w:jc w:val="both"/>
        <w:rPr>
          <w:rFonts w:ascii="Univers" w:eastAsia="Open Sans" w:hAnsi="Univers" w:cs="Open Sans"/>
          <w:b/>
          <w:bCs/>
          <w:sz w:val="24"/>
          <w:szCs w:val="24"/>
        </w:rPr>
      </w:pPr>
      <w:r w:rsidRPr="0089755A">
        <w:rPr>
          <w:rFonts w:ascii="Univers" w:eastAsia="Open Sans" w:hAnsi="Univers" w:cs="Open Sans"/>
          <w:b/>
          <w:bCs/>
          <w:sz w:val="24"/>
          <w:szCs w:val="24"/>
        </w:rPr>
        <w:t>2. Rationale</w:t>
      </w:r>
    </w:p>
    <w:p w14:paraId="00000008" w14:textId="77777777" w:rsidR="00610D18" w:rsidRPr="0089755A" w:rsidRDefault="00610D18">
      <w:pPr>
        <w:jc w:val="both"/>
        <w:rPr>
          <w:rFonts w:ascii="Univers" w:eastAsia="Open Sans" w:hAnsi="Univers" w:cs="Open Sans"/>
          <w:sz w:val="20"/>
          <w:szCs w:val="20"/>
        </w:rPr>
      </w:pPr>
    </w:p>
    <w:p w14:paraId="00000009" w14:textId="77777777" w:rsidR="00610D18" w:rsidRPr="0089755A" w:rsidRDefault="00000000">
      <w:pPr>
        <w:jc w:val="both"/>
        <w:rPr>
          <w:rFonts w:ascii="Univers" w:eastAsia="Open Sans" w:hAnsi="Univers" w:cs="Open Sans"/>
          <w:sz w:val="20"/>
          <w:szCs w:val="20"/>
        </w:rPr>
      </w:pPr>
      <w:r w:rsidRPr="0089755A">
        <w:rPr>
          <w:rFonts w:ascii="Univers" w:eastAsia="Open Sans" w:hAnsi="Univers" w:cs="Open Sans"/>
          <w:sz w:val="20"/>
          <w:szCs w:val="20"/>
        </w:rPr>
        <w:t>The Chamber's credibility as a cross-border institution depends on regulators being able to rely on the accuracy, consistency and good faith of its engagement. Because the Chamber operates across multiple jurisdictions simultaneously, inconsistent or careless regulatory conduct in one jurisdiction can affect its standing in others. These standards exist to ensure that regulatory engagement is treated with the seriousness such exposure warrants.</w:t>
      </w:r>
    </w:p>
    <w:p w14:paraId="0000000A" w14:textId="77777777" w:rsidR="00610D18" w:rsidRPr="0089755A" w:rsidRDefault="00610D18">
      <w:pPr>
        <w:jc w:val="both"/>
        <w:rPr>
          <w:rFonts w:ascii="Univers" w:eastAsia="Open Sans" w:hAnsi="Univers" w:cs="Open Sans"/>
          <w:b/>
          <w:bCs/>
          <w:sz w:val="20"/>
          <w:szCs w:val="20"/>
        </w:rPr>
      </w:pPr>
    </w:p>
    <w:p w14:paraId="0000000B" w14:textId="77777777" w:rsidR="00610D18" w:rsidRPr="0089755A" w:rsidRDefault="00000000">
      <w:pPr>
        <w:jc w:val="both"/>
        <w:rPr>
          <w:rFonts w:ascii="Univers" w:eastAsia="Open Sans" w:hAnsi="Univers" w:cs="Open Sans"/>
          <w:b/>
          <w:bCs/>
          <w:sz w:val="24"/>
          <w:szCs w:val="24"/>
        </w:rPr>
      </w:pPr>
      <w:r w:rsidRPr="0089755A">
        <w:rPr>
          <w:rFonts w:ascii="Univers" w:eastAsia="Open Sans" w:hAnsi="Univers" w:cs="Open Sans"/>
          <w:b/>
          <w:bCs/>
          <w:sz w:val="24"/>
          <w:szCs w:val="24"/>
        </w:rPr>
        <w:t>3. Core Principles</w:t>
      </w:r>
    </w:p>
    <w:p w14:paraId="0000000C" w14:textId="77777777" w:rsidR="00610D18" w:rsidRPr="0089755A" w:rsidRDefault="00610D18">
      <w:pPr>
        <w:jc w:val="both"/>
        <w:rPr>
          <w:rFonts w:ascii="Univers" w:eastAsia="Open Sans" w:hAnsi="Univers" w:cs="Open Sans"/>
          <w:sz w:val="20"/>
          <w:szCs w:val="20"/>
        </w:rPr>
      </w:pPr>
    </w:p>
    <w:p w14:paraId="0000000D" w14:textId="77777777" w:rsidR="00610D18" w:rsidRPr="0089755A" w:rsidRDefault="00000000">
      <w:pPr>
        <w:jc w:val="both"/>
        <w:rPr>
          <w:rFonts w:ascii="Univers" w:eastAsia="Open Sans" w:hAnsi="Univers" w:cs="Open Sans"/>
          <w:sz w:val="20"/>
          <w:szCs w:val="20"/>
        </w:rPr>
      </w:pPr>
      <w:r w:rsidRPr="0089755A">
        <w:rPr>
          <w:rFonts w:ascii="Univers" w:eastAsia="Open Sans" w:hAnsi="Univers" w:cs="Open Sans"/>
          <w:sz w:val="20"/>
          <w:szCs w:val="20"/>
        </w:rPr>
        <w:t>Regulatory engagement is governed by accuracy, meaning that all information provided to regulators is verified before submission and never overstated; neutrality, meaning that the Chamber does not represent the interests of any individual member or narrow group of members in its regulatory dealings; and consistency, meaning that positions taken with one regulator are not contradicted in another jurisdiction without clear and documented justification.</w:t>
      </w:r>
    </w:p>
    <w:p w14:paraId="0000000E" w14:textId="77777777" w:rsidR="00610D18" w:rsidRPr="0089755A" w:rsidRDefault="00610D18">
      <w:pPr>
        <w:jc w:val="both"/>
        <w:rPr>
          <w:rFonts w:ascii="Univers" w:eastAsia="Open Sans" w:hAnsi="Univers" w:cs="Open Sans"/>
          <w:b/>
          <w:bCs/>
          <w:sz w:val="20"/>
          <w:szCs w:val="20"/>
        </w:rPr>
      </w:pPr>
    </w:p>
    <w:p w14:paraId="0000000F" w14:textId="77777777" w:rsidR="00610D18" w:rsidRPr="0089755A" w:rsidRDefault="00000000">
      <w:pPr>
        <w:jc w:val="both"/>
        <w:rPr>
          <w:rFonts w:ascii="Univers" w:eastAsia="Open Sans" w:hAnsi="Univers" w:cs="Open Sans"/>
          <w:b/>
          <w:bCs/>
          <w:sz w:val="24"/>
          <w:szCs w:val="24"/>
        </w:rPr>
      </w:pPr>
      <w:r w:rsidRPr="0089755A">
        <w:rPr>
          <w:rFonts w:ascii="Univers" w:eastAsia="Open Sans" w:hAnsi="Univers" w:cs="Open Sans"/>
          <w:b/>
          <w:bCs/>
          <w:sz w:val="24"/>
          <w:szCs w:val="24"/>
        </w:rPr>
        <w:t>4. Authorisation to Engage</w:t>
      </w:r>
    </w:p>
    <w:p w14:paraId="00000010" w14:textId="77777777" w:rsidR="00610D18" w:rsidRPr="0089755A" w:rsidRDefault="00610D18">
      <w:pPr>
        <w:jc w:val="both"/>
        <w:rPr>
          <w:rFonts w:ascii="Univers" w:eastAsia="Open Sans" w:hAnsi="Univers" w:cs="Open Sans"/>
          <w:sz w:val="20"/>
          <w:szCs w:val="20"/>
        </w:rPr>
      </w:pPr>
    </w:p>
    <w:p w14:paraId="00000011" w14:textId="77777777" w:rsidR="00610D18" w:rsidRPr="0089755A" w:rsidRDefault="00000000">
      <w:pPr>
        <w:jc w:val="both"/>
        <w:rPr>
          <w:rFonts w:ascii="Univers" w:eastAsia="Open Sans" w:hAnsi="Univers" w:cs="Open Sans"/>
          <w:sz w:val="20"/>
          <w:szCs w:val="20"/>
        </w:rPr>
      </w:pPr>
      <w:r w:rsidRPr="0089755A">
        <w:rPr>
          <w:rFonts w:ascii="Univers" w:eastAsia="Open Sans" w:hAnsi="Univers" w:cs="Open Sans"/>
          <w:sz w:val="20"/>
          <w:szCs w:val="20"/>
        </w:rPr>
        <w:t>Regulatory engagement on behalf of the Chamber may only be conducted by individuals authorised to do so under the Chamber's governance architecture. Unauthorised engagement, however well intentioned, is treated as a breach of these standards, given the reputational and legal exposure that unauthorised representations can create.</w:t>
      </w:r>
    </w:p>
    <w:p w14:paraId="00000012" w14:textId="77777777" w:rsidR="00610D18" w:rsidRPr="0089755A" w:rsidRDefault="00610D18">
      <w:pPr>
        <w:jc w:val="both"/>
        <w:rPr>
          <w:rFonts w:ascii="Univers" w:eastAsia="Open Sans" w:hAnsi="Univers" w:cs="Open Sans"/>
          <w:b/>
          <w:bCs/>
          <w:sz w:val="20"/>
          <w:szCs w:val="20"/>
        </w:rPr>
      </w:pPr>
    </w:p>
    <w:p w14:paraId="00000013" w14:textId="77777777" w:rsidR="00610D18" w:rsidRPr="0089755A" w:rsidRDefault="00000000">
      <w:pPr>
        <w:jc w:val="both"/>
        <w:rPr>
          <w:rFonts w:ascii="Univers" w:eastAsia="Open Sans" w:hAnsi="Univers" w:cs="Open Sans"/>
          <w:b/>
          <w:bCs/>
          <w:sz w:val="24"/>
          <w:szCs w:val="24"/>
        </w:rPr>
      </w:pPr>
      <w:r w:rsidRPr="0089755A">
        <w:rPr>
          <w:rFonts w:ascii="Univers" w:eastAsia="Open Sans" w:hAnsi="Univers" w:cs="Open Sans"/>
          <w:b/>
          <w:bCs/>
          <w:sz w:val="24"/>
          <w:szCs w:val="24"/>
        </w:rPr>
        <w:t>5. Conduct of Engagement</w:t>
      </w:r>
    </w:p>
    <w:p w14:paraId="00000014" w14:textId="77777777" w:rsidR="00610D18" w:rsidRPr="0089755A" w:rsidRDefault="00610D18">
      <w:pPr>
        <w:jc w:val="both"/>
        <w:rPr>
          <w:rFonts w:ascii="Univers" w:eastAsia="Open Sans" w:hAnsi="Univers" w:cs="Open Sans"/>
          <w:sz w:val="20"/>
          <w:szCs w:val="20"/>
        </w:rPr>
      </w:pPr>
    </w:p>
    <w:p w14:paraId="00000015" w14:textId="77777777" w:rsidR="00610D18" w:rsidRPr="0089755A" w:rsidRDefault="00000000">
      <w:pPr>
        <w:jc w:val="both"/>
        <w:rPr>
          <w:rFonts w:ascii="Univers" w:eastAsia="Open Sans" w:hAnsi="Univers" w:cs="Open Sans"/>
          <w:sz w:val="20"/>
          <w:szCs w:val="20"/>
        </w:rPr>
      </w:pPr>
      <w:r w:rsidRPr="0089755A">
        <w:rPr>
          <w:rFonts w:ascii="Univers" w:eastAsia="Open Sans" w:hAnsi="Univers" w:cs="Open Sans"/>
          <w:sz w:val="20"/>
          <w:szCs w:val="20"/>
        </w:rPr>
        <w:t>All regulatory engagement must be prepared, conducted and followed up in a manner consistent with the Cross-Jurisdictional Consultation &amp; Coordination Procedures. This includes internal review of positions before they are communicated externally, clarity regarding the capacity in which the Chamber is engaging, and care to distinguish the Chamber's institutional views from those of any individual member.</w:t>
      </w:r>
    </w:p>
    <w:p w14:paraId="00000016" w14:textId="77777777" w:rsidR="00610D18" w:rsidRPr="0089755A" w:rsidRDefault="00610D18">
      <w:pPr>
        <w:jc w:val="both"/>
        <w:rPr>
          <w:rFonts w:ascii="Univers" w:eastAsia="Open Sans" w:hAnsi="Univers" w:cs="Open Sans"/>
          <w:b/>
          <w:bCs/>
          <w:sz w:val="20"/>
          <w:szCs w:val="20"/>
        </w:rPr>
      </w:pPr>
    </w:p>
    <w:p w14:paraId="00000017" w14:textId="77777777" w:rsidR="00610D18" w:rsidRPr="0089755A" w:rsidRDefault="00000000">
      <w:pPr>
        <w:jc w:val="both"/>
        <w:rPr>
          <w:rFonts w:ascii="Univers" w:eastAsia="Open Sans" w:hAnsi="Univers" w:cs="Open Sans"/>
          <w:b/>
          <w:bCs/>
          <w:sz w:val="24"/>
          <w:szCs w:val="24"/>
        </w:rPr>
      </w:pPr>
      <w:r w:rsidRPr="0089755A">
        <w:rPr>
          <w:rFonts w:ascii="Univers" w:eastAsia="Open Sans" w:hAnsi="Univers" w:cs="Open Sans"/>
          <w:b/>
          <w:bCs/>
          <w:sz w:val="24"/>
          <w:szCs w:val="24"/>
        </w:rPr>
        <w:t>6. Documentation and Reporting</w:t>
      </w:r>
    </w:p>
    <w:p w14:paraId="00000018" w14:textId="77777777" w:rsidR="00610D18" w:rsidRPr="0089755A" w:rsidRDefault="00610D18">
      <w:pPr>
        <w:jc w:val="both"/>
        <w:rPr>
          <w:rFonts w:ascii="Univers" w:eastAsia="Open Sans" w:hAnsi="Univers" w:cs="Open Sans"/>
          <w:sz w:val="20"/>
          <w:szCs w:val="20"/>
        </w:rPr>
      </w:pPr>
    </w:p>
    <w:p w14:paraId="00000019" w14:textId="77777777" w:rsidR="00610D18" w:rsidRPr="0089755A" w:rsidRDefault="00000000">
      <w:pPr>
        <w:jc w:val="both"/>
        <w:rPr>
          <w:rFonts w:ascii="Univers" w:eastAsia="Open Sans" w:hAnsi="Univers" w:cs="Open Sans"/>
          <w:sz w:val="20"/>
          <w:szCs w:val="20"/>
        </w:rPr>
      </w:pPr>
      <w:r w:rsidRPr="0089755A">
        <w:rPr>
          <w:rFonts w:ascii="Univers" w:eastAsia="Open Sans" w:hAnsi="Univers" w:cs="Open Sans"/>
          <w:sz w:val="20"/>
          <w:szCs w:val="20"/>
        </w:rPr>
        <w:t>Every instance of regulatory engagement must be documented in accordance with the Regulatory Correspondence &amp; Information-Handling Guidelines and the Record-Keeping &amp; Documentation Standards. This includes the substance of the engagement, the individuals involved and any commitments or positions communicated. Material regulatory developments must be reported to Executive Leadership without delay.</w:t>
      </w:r>
    </w:p>
    <w:p w14:paraId="0000001A" w14:textId="77777777" w:rsidR="00610D18" w:rsidRPr="0089755A" w:rsidRDefault="00610D18">
      <w:pPr>
        <w:jc w:val="both"/>
        <w:rPr>
          <w:rFonts w:ascii="Univers" w:eastAsia="Open Sans" w:hAnsi="Univers" w:cs="Open Sans"/>
          <w:b/>
          <w:bCs/>
          <w:sz w:val="20"/>
          <w:szCs w:val="20"/>
        </w:rPr>
      </w:pPr>
    </w:p>
    <w:p w14:paraId="0000001B" w14:textId="77777777" w:rsidR="00610D18" w:rsidRPr="0089755A" w:rsidRDefault="00000000">
      <w:pPr>
        <w:jc w:val="both"/>
        <w:rPr>
          <w:rFonts w:ascii="Univers" w:eastAsia="Open Sans" w:hAnsi="Univers" w:cs="Open Sans"/>
          <w:b/>
          <w:bCs/>
          <w:sz w:val="24"/>
          <w:szCs w:val="24"/>
        </w:rPr>
      </w:pPr>
      <w:r w:rsidRPr="0089755A">
        <w:rPr>
          <w:rFonts w:ascii="Univers" w:eastAsia="Open Sans" w:hAnsi="Univers" w:cs="Open Sans"/>
          <w:b/>
          <w:bCs/>
          <w:sz w:val="24"/>
          <w:szCs w:val="24"/>
        </w:rPr>
        <w:t>7. Alignment with Governance Framework</w:t>
      </w:r>
    </w:p>
    <w:p w14:paraId="0000001C" w14:textId="77777777" w:rsidR="00610D18" w:rsidRPr="0089755A" w:rsidRDefault="00610D18">
      <w:pPr>
        <w:jc w:val="both"/>
        <w:rPr>
          <w:rFonts w:ascii="Univers" w:eastAsia="Open Sans" w:hAnsi="Univers" w:cs="Open Sans"/>
          <w:sz w:val="20"/>
          <w:szCs w:val="20"/>
        </w:rPr>
      </w:pPr>
    </w:p>
    <w:p w14:paraId="0000001D" w14:textId="77777777" w:rsidR="00610D18" w:rsidRPr="0089755A" w:rsidRDefault="00000000">
      <w:pPr>
        <w:jc w:val="both"/>
        <w:rPr>
          <w:rFonts w:ascii="Univers" w:eastAsia="Open Sans" w:hAnsi="Univers" w:cs="Open Sans"/>
          <w:sz w:val="20"/>
          <w:szCs w:val="20"/>
        </w:rPr>
      </w:pPr>
      <w:r w:rsidRPr="0089755A">
        <w:rPr>
          <w:rFonts w:ascii="Univers" w:eastAsia="Open Sans" w:hAnsi="Univers" w:cs="Open Sans"/>
          <w:sz w:val="20"/>
          <w:szCs w:val="20"/>
        </w:rPr>
        <w:t xml:space="preserve">These standards ensure that the Chamber's regulatory relationships are built on reliability rather than convenience. They protect the institution's independence, reduce the risk of jurisdictional </w:t>
      </w:r>
      <w:r w:rsidRPr="0089755A">
        <w:rPr>
          <w:rFonts w:ascii="Univers" w:eastAsia="Open Sans" w:hAnsi="Univers" w:cs="Open Sans"/>
          <w:sz w:val="20"/>
          <w:szCs w:val="20"/>
        </w:rPr>
        <w:lastRenderedPageBreak/>
        <w:t>inconsistency, and reinforce the Chamber's standing as a disciplined and trustworthy interlocutor for regulatory authorities engaged in cross-border economic matters.</w:t>
      </w:r>
    </w:p>
    <w:p w14:paraId="0000001E" w14:textId="77777777" w:rsidR="00610D18" w:rsidRPr="0089755A" w:rsidRDefault="00610D18">
      <w:pPr>
        <w:rPr>
          <w:rFonts w:ascii="Univers" w:eastAsia="Open Sans" w:hAnsi="Univers" w:cs="Open Sans"/>
          <w:sz w:val="20"/>
          <w:szCs w:val="20"/>
        </w:rPr>
      </w:pPr>
    </w:p>
    <w:sectPr w:rsidR="00610D18" w:rsidRPr="0089755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E7F1B7E4-6071-46AB-A84F-D0A66636AD90}"/>
    <w:embedItalic r:id="rId2" w:fontKey="{9B57004B-5E1B-4B00-8051-385669DF8226}"/>
  </w:font>
  <w:font w:name="Play">
    <w:charset w:val="00"/>
    <w:family w:val="auto"/>
    <w:pitch w:val="default"/>
    <w:embedRegular r:id="rId3" w:fontKey="{8CB4993C-6C5A-4F89-B2BA-849C0A4E3DB5}"/>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5F16296E-ACE0-4EDE-8BFF-DCE0A376609B}"/>
    <w:embedBold r:id="rId5" w:fontKey="{D4B8F4AF-2FC9-4563-BC25-379E2A0C6489}"/>
  </w:font>
  <w:font w:name="Open Sans">
    <w:charset w:val="00"/>
    <w:family w:val="swiss"/>
    <w:pitch w:val="variable"/>
    <w:sig w:usb0="E00002EF" w:usb1="4000205B" w:usb2="00000028" w:usb3="00000000" w:csb0="0000019F" w:csb1="00000000"/>
    <w:embedRegular r:id="rId6" w:fontKey="{60F8A7BB-DA47-492D-9343-2BF88B466098}"/>
    <w:embedBold r:id="rId7" w:fontKey="{BCAFBB93-5FF3-4CD7-8FA8-05BD0F3DF0BE}"/>
  </w:font>
  <w:font w:name="Calibri">
    <w:panose1 w:val="020F0502020204030204"/>
    <w:charset w:val="00"/>
    <w:family w:val="swiss"/>
    <w:pitch w:val="variable"/>
    <w:sig w:usb0="E4002EFF" w:usb1="C200247B" w:usb2="00000009" w:usb3="00000000" w:csb0="000001FF" w:csb1="00000000"/>
    <w:embedRegular r:id="rId8" w:fontKey="{785466B3-6172-42A3-9FC0-8C29C46EF8B8}"/>
  </w:font>
  <w:font w:name="Cambria">
    <w:panose1 w:val="02040503050406030204"/>
    <w:charset w:val="00"/>
    <w:family w:val="roman"/>
    <w:pitch w:val="variable"/>
    <w:sig w:usb0="E00006FF" w:usb1="420024FF" w:usb2="02000000" w:usb3="00000000" w:csb0="0000019F" w:csb1="00000000"/>
    <w:embedRegular r:id="rId9" w:fontKey="{3CEDADA9-053E-4AF2-BECE-4FFD7D85C4C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D18"/>
    <w:rsid w:val="00610D18"/>
    <w:rsid w:val="0089755A"/>
    <w:rsid w:val="00E50FD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F15717-EBBB-45F1-B1BA-F3A472E02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m6yCC/Vk7e61/p7fvD0jcrlA==">CgMxLjA4AHIhMWdiRDUyNGlfUEhvcXdsaVZDN050b3pxTDJEN2ZYb3I3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2611</Characters>
  <Application>Microsoft Office Word</Application>
  <DocSecurity>0</DocSecurity>
  <Lines>21</Lines>
  <Paragraphs>6</Paragraphs>
  <ScaleCrop>false</ScaleCrop>
  <Company>Department of Education</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2026-07-23T09:10:00Z</dcterms:created>
  <dcterms:modified xsi:type="dcterms:W3CDTF">2026-07-23T09:10:00Z</dcterms:modified>
</cp:coreProperties>
</file>