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518F" w:rsidRPr="0074382F" w:rsidRDefault="00000000">
      <w:pPr>
        <w:jc w:val="center"/>
        <w:rPr>
          <w:rFonts w:ascii="Univers" w:eastAsia="Open Sans" w:hAnsi="Univers" w:cs="Open Sans"/>
          <w:b/>
          <w:bCs/>
          <w:sz w:val="24"/>
          <w:szCs w:val="24"/>
        </w:rPr>
      </w:pPr>
      <w:r w:rsidRPr="0074382F">
        <w:rPr>
          <w:rFonts w:ascii="Univers" w:eastAsia="Open Sans" w:hAnsi="Univers" w:cs="Open Sans"/>
          <w:b/>
          <w:bCs/>
          <w:sz w:val="24"/>
          <w:szCs w:val="24"/>
        </w:rPr>
        <w:t xml:space="preserve">CROSS-JURISDICTIONAL CONSULTATION &amp; COORDINATION PROCEDURES </w:t>
      </w:r>
    </w:p>
    <w:p w14:paraId="00000002" w14:textId="77777777" w:rsidR="003E518F" w:rsidRPr="0074382F" w:rsidRDefault="003E518F">
      <w:pPr>
        <w:rPr>
          <w:rFonts w:ascii="Univers" w:eastAsia="Open Sans" w:hAnsi="Univers" w:cs="Open Sans"/>
          <w:sz w:val="20"/>
          <w:szCs w:val="20"/>
        </w:rPr>
      </w:pPr>
    </w:p>
    <w:p w14:paraId="00000003"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1. Purpose and Scope</w:t>
      </w:r>
    </w:p>
    <w:p w14:paraId="00000004" w14:textId="77777777" w:rsidR="003E518F" w:rsidRPr="0074382F" w:rsidRDefault="003E518F">
      <w:pPr>
        <w:jc w:val="both"/>
        <w:rPr>
          <w:rFonts w:ascii="Univers" w:eastAsia="Open Sans" w:hAnsi="Univers" w:cs="Open Sans"/>
          <w:sz w:val="20"/>
          <w:szCs w:val="20"/>
        </w:rPr>
      </w:pPr>
    </w:p>
    <w:p w14:paraId="00000005"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This document sets out how the World Economic Chamber consults internally and coordinates externally when engagement spans more than one jurisdiction. It ensures that positions communicated in one regulatory or institutional environment are consistent with those communicated elsewhere, and that the Chamber's cross-border activity is conducted with the coherence expected of a disciplined international institution.</w:t>
      </w:r>
    </w:p>
    <w:p w14:paraId="00000006" w14:textId="77777777" w:rsidR="003E518F" w:rsidRPr="0074382F" w:rsidRDefault="003E518F">
      <w:pPr>
        <w:jc w:val="both"/>
        <w:rPr>
          <w:rFonts w:ascii="Univers" w:eastAsia="Open Sans" w:hAnsi="Univers" w:cs="Open Sans"/>
          <w:b/>
          <w:bCs/>
          <w:sz w:val="20"/>
          <w:szCs w:val="20"/>
        </w:rPr>
      </w:pPr>
    </w:p>
    <w:p w14:paraId="00000007"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2. Rationale</w:t>
      </w:r>
    </w:p>
    <w:p w14:paraId="00000008" w14:textId="77777777" w:rsidR="003E518F" w:rsidRPr="0074382F" w:rsidRDefault="003E518F">
      <w:pPr>
        <w:jc w:val="both"/>
        <w:rPr>
          <w:rFonts w:ascii="Univers" w:eastAsia="Open Sans" w:hAnsi="Univers" w:cs="Open Sans"/>
          <w:sz w:val="20"/>
          <w:szCs w:val="20"/>
        </w:rPr>
      </w:pPr>
    </w:p>
    <w:p w14:paraId="00000009"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Because the Chamber operates simultaneously across multiple jurisdictions, engagement conducted in isolation risks producing positions that are inconsistent, duplicative or, in the more serious case, contradictory. These procedures exist to ensure that cross-jurisdictional activity is treated as a coordinated institutional function rather than a series of disconnected local interactions.</w:t>
      </w:r>
    </w:p>
    <w:p w14:paraId="0000000A" w14:textId="77777777" w:rsidR="003E518F" w:rsidRPr="0074382F" w:rsidRDefault="003E518F">
      <w:pPr>
        <w:jc w:val="both"/>
        <w:rPr>
          <w:rFonts w:ascii="Univers" w:eastAsia="Open Sans" w:hAnsi="Univers" w:cs="Open Sans"/>
          <w:b/>
          <w:bCs/>
          <w:sz w:val="20"/>
          <w:szCs w:val="20"/>
        </w:rPr>
      </w:pPr>
    </w:p>
    <w:p w14:paraId="0000000B"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3. Internal Consultation Requirements</w:t>
      </w:r>
    </w:p>
    <w:p w14:paraId="0000000C" w14:textId="77777777" w:rsidR="003E518F" w:rsidRPr="0074382F" w:rsidRDefault="003E518F">
      <w:pPr>
        <w:jc w:val="both"/>
        <w:rPr>
          <w:rFonts w:ascii="Univers" w:eastAsia="Open Sans" w:hAnsi="Univers" w:cs="Open Sans"/>
          <w:sz w:val="20"/>
          <w:szCs w:val="20"/>
        </w:rPr>
      </w:pPr>
    </w:p>
    <w:p w14:paraId="0000000D"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 xml:space="preserve">Before engaging with a regulator, government body or institutional counterpart </w:t>
      </w:r>
      <w:proofErr w:type="gramStart"/>
      <w:r w:rsidRPr="0074382F">
        <w:rPr>
          <w:rFonts w:ascii="Univers" w:eastAsia="Open Sans" w:hAnsi="Univers" w:cs="Open Sans"/>
          <w:sz w:val="20"/>
          <w:szCs w:val="20"/>
        </w:rPr>
        <w:t>in a given</w:t>
      </w:r>
      <w:proofErr w:type="gramEnd"/>
      <w:r w:rsidRPr="0074382F">
        <w:rPr>
          <w:rFonts w:ascii="Univers" w:eastAsia="Open Sans" w:hAnsi="Univers" w:cs="Open Sans"/>
          <w:sz w:val="20"/>
          <w:szCs w:val="20"/>
        </w:rPr>
        <w:t xml:space="preserve"> jurisdiction, the relevant Secretariat function must consult internally to confirm that the intended position is consistent with prior engagement in other jurisdictions, aligned with existing Chamber policy positions, and within the authority of the individual or unit proposing to engage. Consultation must be completed and documented before external engagement proceeds, save in circumstances of genuine time sensitivity, which must themselves be documented and reported after the fact.</w:t>
      </w:r>
    </w:p>
    <w:p w14:paraId="0000000E" w14:textId="77777777" w:rsidR="003E518F" w:rsidRPr="0074382F" w:rsidRDefault="003E518F">
      <w:pPr>
        <w:jc w:val="both"/>
        <w:rPr>
          <w:rFonts w:ascii="Univers" w:eastAsia="Open Sans" w:hAnsi="Univers" w:cs="Open Sans"/>
          <w:b/>
          <w:bCs/>
          <w:sz w:val="20"/>
          <w:szCs w:val="20"/>
        </w:rPr>
      </w:pPr>
    </w:p>
    <w:p w14:paraId="0000000F"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4. Coordination Across Jurisdictions</w:t>
      </w:r>
    </w:p>
    <w:p w14:paraId="00000010" w14:textId="77777777" w:rsidR="003E518F" w:rsidRPr="0074382F" w:rsidRDefault="003E518F">
      <w:pPr>
        <w:jc w:val="both"/>
        <w:rPr>
          <w:rFonts w:ascii="Univers" w:eastAsia="Open Sans" w:hAnsi="Univers" w:cs="Open Sans"/>
          <w:sz w:val="20"/>
          <w:szCs w:val="20"/>
        </w:rPr>
      </w:pPr>
    </w:p>
    <w:p w14:paraId="00000011"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Where the Chamber is engaged, or expects to be engaged, with counterparts in multiple jurisdictions on a related matter, coordination must extend beyond internal consultation to active alignment across the relevant Secretariat functions. This includes maintaining a shared record of positions taken, ensuring that any jurisdiction-specific nuance is deliberate rather than incidental, and identifying in advance where local regulatory expectations may require a differentiated approach.</w:t>
      </w:r>
    </w:p>
    <w:p w14:paraId="00000012" w14:textId="77777777" w:rsidR="003E518F" w:rsidRPr="0074382F" w:rsidRDefault="003E518F">
      <w:pPr>
        <w:jc w:val="both"/>
        <w:rPr>
          <w:rFonts w:ascii="Univers" w:eastAsia="Open Sans" w:hAnsi="Univers" w:cs="Open Sans"/>
          <w:b/>
          <w:bCs/>
          <w:sz w:val="20"/>
          <w:szCs w:val="20"/>
        </w:rPr>
      </w:pPr>
    </w:p>
    <w:p w14:paraId="00000013"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5. Escalation of Inconsistency</w:t>
      </w:r>
    </w:p>
    <w:p w14:paraId="00000014" w14:textId="77777777" w:rsidR="003E518F" w:rsidRPr="0074382F" w:rsidRDefault="003E518F">
      <w:pPr>
        <w:jc w:val="both"/>
        <w:rPr>
          <w:rFonts w:ascii="Univers" w:eastAsia="Open Sans" w:hAnsi="Univers" w:cs="Open Sans"/>
          <w:sz w:val="20"/>
          <w:szCs w:val="20"/>
        </w:rPr>
      </w:pPr>
    </w:p>
    <w:p w14:paraId="00000015"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Where a potential inconsistency between jurisdictions is identified, whether before or after engagement has occurred, it must be escalated to Executive Leadership without delay. Leadership is responsible for determining how the inconsistency should be resolved and whether corrective communication with any regulator or counterpart is required.</w:t>
      </w:r>
    </w:p>
    <w:p w14:paraId="00000016" w14:textId="77777777" w:rsidR="003E518F" w:rsidRPr="0074382F" w:rsidRDefault="003E518F">
      <w:pPr>
        <w:jc w:val="both"/>
        <w:rPr>
          <w:rFonts w:ascii="Univers" w:eastAsia="Open Sans" w:hAnsi="Univers" w:cs="Open Sans"/>
          <w:b/>
          <w:bCs/>
          <w:sz w:val="20"/>
          <w:szCs w:val="20"/>
        </w:rPr>
      </w:pPr>
    </w:p>
    <w:p w14:paraId="00000017"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6. Documentation</w:t>
      </w:r>
    </w:p>
    <w:p w14:paraId="00000018" w14:textId="77777777" w:rsidR="003E518F" w:rsidRPr="0074382F" w:rsidRDefault="003E518F">
      <w:pPr>
        <w:jc w:val="both"/>
        <w:rPr>
          <w:rFonts w:ascii="Univers" w:eastAsia="Open Sans" w:hAnsi="Univers" w:cs="Open Sans"/>
          <w:sz w:val="20"/>
          <w:szCs w:val="20"/>
        </w:rPr>
      </w:pPr>
    </w:p>
    <w:p w14:paraId="00000019"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All cross-jurisdictional consultation and coordination activity must be recorded in accordance with the Record-Keeping &amp; Documentation Standards, including the positions considered, the consultation undertaken, and the rationale for any jurisdiction-specific approach adopted.</w:t>
      </w:r>
    </w:p>
    <w:p w14:paraId="0000001A" w14:textId="77777777" w:rsidR="003E518F" w:rsidRPr="0074382F" w:rsidRDefault="003E518F">
      <w:pPr>
        <w:jc w:val="both"/>
        <w:rPr>
          <w:rFonts w:ascii="Univers" w:eastAsia="Open Sans" w:hAnsi="Univers" w:cs="Open Sans"/>
          <w:sz w:val="20"/>
          <w:szCs w:val="20"/>
        </w:rPr>
      </w:pPr>
    </w:p>
    <w:p w14:paraId="0000001B" w14:textId="77777777" w:rsidR="003E518F" w:rsidRPr="0074382F" w:rsidRDefault="00000000">
      <w:pPr>
        <w:jc w:val="both"/>
        <w:rPr>
          <w:rFonts w:ascii="Univers" w:eastAsia="Open Sans" w:hAnsi="Univers" w:cs="Open Sans"/>
          <w:b/>
          <w:bCs/>
          <w:sz w:val="24"/>
          <w:szCs w:val="24"/>
        </w:rPr>
      </w:pPr>
      <w:r w:rsidRPr="0074382F">
        <w:rPr>
          <w:rFonts w:ascii="Univers" w:eastAsia="Open Sans" w:hAnsi="Univers" w:cs="Open Sans"/>
          <w:b/>
          <w:bCs/>
          <w:sz w:val="24"/>
          <w:szCs w:val="24"/>
        </w:rPr>
        <w:t>7. Alignment with Governance Framework</w:t>
      </w:r>
    </w:p>
    <w:p w14:paraId="0000001C" w14:textId="77777777" w:rsidR="003E518F" w:rsidRPr="0074382F" w:rsidRDefault="003E518F">
      <w:pPr>
        <w:jc w:val="both"/>
        <w:rPr>
          <w:rFonts w:ascii="Univers" w:eastAsia="Open Sans" w:hAnsi="Univers" w:cs="Open Sans"/>
          <w:sz w:val="20"/>
          <w:szCs w:val="20"/>
        </w:rPr>
      </w:pPr>
    </w:p>
    <w:p w14:paraId="0000001D" w14:textId="77777777" w:rsidR="003E518F" w:rsidRPr="0074382F" w:rsidRDefault="00000000">
      <w:pPr>
        <w:jc w:val="both"/>
        <w:rPr>
          <w:rFonts w:ascii="Univers" w:eastAsia="Open Sans" w:hAnsi="Univers" w:cs="Open Sans"/>
          <w:sz w:val="20"/>
          <w:szCs w:val="20"/>
        </w:rPr>
      </w:pPr>
      <w:r w:rsidRPr="0074382F">
        <w:rPr>
          <w:rFonts w:ascii="Univers" w:eastAsia="Open Sans" w:hAnsi="Univers" w:cs="Open Sans"/>
          <w:sz w:val="20"/>
          <w:szCs w:val="20"/>
        </w:rPr>
        <w:t xml:space="preserve">These procedures protect the Chamber's institutional coherence in an operating environment defined by regulatory diversity. They ensure that the Chamber speaks with one disciplined </w:t>
      </w:r>
      <w:r w:rsidRPr="0074382F">
        <w:rPr>
          <w:rFonts w:ascii="Univers" w:eastAsia="Open Sans" w:hAnsi="Univers" w:cs="Open Sans"/>
          <w:sz w:val="20"/>
          <w:szCs w:val="20"/>
        </w:rPr>
        <w:lastRenderedPageBreak/>
        <w:t>institutional voice, even as it engages with the distinct expectations and requirements of the many jurisdictions in which its members operate.</w:t>
      </w:r>
    </w:p>
    <w:p w14:paraId="0000001E" w14:textId="77777777" w:rsidR="003E518F" w:rsidRPr="0074382F" w:rsidRDefault="003E518F">
      <w:pPr>
        <w:rPr>
          <w:rFonts w:ascii="Univers" w:eastAsia="Open Sans" w:hAnsi="Univers" w:cs="Open Sans"/>
          <w:sz w:val="20"/>
          <w:szCs w:val="20"/>
        </w:rPr>
      </w:pPr>
    </w:p>
    <w:sectPr w:rsidR="003E518F" w:rsidRPr="0074382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51BD4F0-D38F-4335-812D-89D15F00669E}"/>
    <w:embedItalic r:id="rId2" w:fontKey="{859F1B6B-EFDD-49E9-A52C-D0ECF47F5A9A}"/>
  </w:font>
  <w:font w:name="Play">
    <w:charset w:val="00"/>
    <w:family w:val="auto"/>
    <w:pitch w:val="default"/>
    <w:embedRegular r:id="rId3" w:fontKey="{82527E6B-7462-48FA-88A7-F34B47D1CA8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650B79CF-165A-48F5-8D87-C08586943E9F}"/>
    <w:embedBold r:id="rId5" w:fontKey="{8DBCBEFF-0363-4C17-8668-E1D3E1EA0474}"/>
  </w:font>
  <w:font w:name="Open Sans">
    <w:charset w:val="00"/>
    <w:family w:val="swiss"/>
    <w:pitch w:val="variable"/>
    <w:sig w:usb0="E00002EF" w:usb1="4000205B" w:usb2="00000028" w:usb3="00000000" w:csb0="0000019F" w:csb1="00000000"/>
    <w:embedRegular r:id="rId6" w:fontKey="{2C36EE8B-2052-4174-A46E-94E643C4B5F2}"/>
    <w:embedBold r:id="rId7" w:fontKey="{0DDA1D05-9807-46B5-B4E0-C476B055FA44}"/>
  </w:font>
  <w:font w:name="Calibri">
    <w:panose1 w:val="020F0502020204030204"/>
    <w:charset w:val="00"/>
    <w:family w:val="swiss"/>
    <w:pitch w:val="variable"/>
    <w:sig w:usb0="E4002EFF" w:usb1="C200247B" w:usb2="00000009" w:usb3="00000000" w:csb0="000001FF" w:csb1="00000000"/>
    <w:embedRegular r:id="rId8" w:fontKey="{122D3BA4-0FFA-4B7B-B1BF-BA88FCDE83F1}"/>
  </w:font>
  <w:font w:name="Cambria">
    <w:panose1 w:val="02040503050406030204"/>
    <w:charset w:val="00"/>
    <w:family w:val="roman"/>
    <w:pitch w:val="variable"/>
    <w:sig w:usb0="E00006FF" w:usb1="420024FF" w:usb2="02000000" w:usb3="00000000" w:csb0="0000019F" w:csb1="00000000"/>
    <w:embedRegular r:id="rId9" w:fontKey="{4AEC3326-9E5E-493E-B18F-0B49BE2787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8F"/>
    <w:rsid w:val="003E518F"/>
    <w:rsid w:val="0074382F"/>
    <w:rsid w:val="00DC2A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2875ED-997F-4562-8226-6C5F6319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i9XIBjFl9k+fk+cqpwKKjlscw==">CgMxLjA4AHIhMXhrVG5IczllYWlkbzFPVVZZOW84ak5XLVdBVzVZRExV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2632</Characters>
  <Application>Microsoft Office Word</Application>
  <DocSecurity>0</DocSecurity>
  <Lines>21</Lines>
  <Paragraphs>6</Paragraphs>
  <ScaleCrop>false</ScaleCrop>
  <Company>Department of Education</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2026-07-23T09:10:00Z</dcterms:created>
  <dcterms:modified xsi:type="dcterms:W3CDTF">2026-07-23T09:11:00Z</dcterms:modified>
</cp:coreProperties>
</file>