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369B" w:rsidRPr="00A1025F" w:rsidRDefault="00000000">
      <w:pPr>
        <w:jc w:val="center"/>
        <w:rPr>
          <w:rFonts w:ascii="Univers" w:eastAsia="Open Sans" w:hAnsi="Univers" w:cs="Open Sans"/>
          <w:b/>
          <w:bCs/>
          <w:sz w:val="24"/>
          <w:szCs w:val="24"/>
        </w:rPr>
      </w:pPr>
      <w:r w:rsidRPr="00A1025F">
        <w:rPr>
          <w:rFonts w:ascii="Univers" w:eastAsia="Open Sans" w:hAnsi="Univers" w:cs="Open Sans"/>
          <w:b/>
          <w:bCs/>
          <w:sz w:val="24"/>
          <w:szCs w:val="24"/>
        </w:rPr>
        <w:t>CROSS-BORDER ENGAGEMENT STANDARDS</w:t>
      </w:r>
    </w:p>
    <w:p w14:paraId="00000002" w14:textId="77777777" w:rsidR="00CE369B" w:rsidRPr="00A1025F" w:rsidRDefault="00CE369B">
      <w:pPr>
        <w:rPr>
          <w:rFonts w:ascii="Univers" w:eastAsia="Open Sans" w:hAnsi="Univers" w:cs="Open Sans"/>
          <w:sz w:val="20"/>
          <w:szCs w:val="20"/>
        </w:rPr>
      </w:pPr>
    </w:p>
    <w:p w14:paraId="00000003" w14:textId="77777777" w:rsidR="00CE369B" w:rsidRPr="00A1025F" w:rsidRDefault="00000000">
      <w:pPr>
        <w:jc w:val="both"/>
        <w:rPr>
          <w:rFonts w:ascii="Univers" w:eastAsia="Open Sans" w:hAnsi="Univers" w:cs="Open Sans"/>
          <w:b/>
          <w:bCs/>
          <w:sz w:val="24"/>
          <w:szCs w:val="24"/>
        </w:rPr>
      </w:pPr>
      <w:r w:rsidRPr="00A1025F">
        <w:rPr>
          <w:rFonts w:ascii="Univers" w:eastAsia="Open Sans" w:hAnsi="Univers" w:cs="Open Sans"/>
          <w:b/>
          <w:bCs/>
          <w:sz w:val="24"/>
          <w:szCs w:val="24"/>
        </w:rPr>
        <w:t>1. Purpose and Scope</w:t>
      </w:r>
    </w:p>
    <w:p w14:paraId="00000004" w14:textId="77777777" w:rsidR="00CE369B" w:rsidRPr="00A1025F" w:rsidRDefault="00CE369B">
      <w:pPr>
        <w:jc w:val="both"/>
        <w:rPr>
          <w:rFonts w:ascii="Univers" w:eastAsia="Open Sans" w:hAnsi="Univers" w:cs="Open Sans"/>
          <w:sz w:val="20"/>
          <w:szCs w:val="20"/>
        </w:rPr>
      </w:pPr>
    </w:p>
    <w:p w14:paraId="00000005" w14:textId="77777777" w:rsidR="00CE369B" w:rsidRPr="00A1025F" w:rsidRDefault="00000000">
      <w:pPr>
        <w:jc w:val="both"/>
        <w:rPr>
          <w:rFonts w:ascii="Univers" w:eastAsia="Open Sans" w:hAnsi="Univers" w:cs="Open Sans"/>
          <w:sz w:val="20"/>
          <w:szCs w:val="20"/>
        </w:rPr>
      </w:pPr>
      <w:r w:rsidRPr="00A1025F">
        <w:rPr>
          <w:rFonts w:ascii="Univers" w:eastAsia="Open Sans" w:hAnsi="Univers" w:cs="Open Sans"/>
          <w:sz w:val="20"/>
          <w:szCs w:val="20"/>
        </w:rPr>
        <w:t>This document sets out the standards that govern how the World Economic Chamber conducts engagement that spans more than one jurisdiction, including interaction with member institutions, partner organisations, government bodies and multilateral counterparts. It applies wherever the Chamber's activity crosses a jurisdictional boundary, whether through direct engagement, program delivery or institutional cooperation.</w:t>
      </w:r>
    </w:p>
    <w:p w14:paraId="00000006" w14:textId="77777777" w:rsidR="00CE369B" w:rsidRPr="00A1025F" w:rsidRDefault="00CE369B">
      <w:pPr>
        <w:jc w:val="both"/>
        <w:rPr>
          <w:rFonts w:ascii="Univers" w:eastAsia="Open Sans" w:hAnsi="Univers" w:cs="Open Sans"/>
          <w:b/>
          <w:bCs/>
          <w:sz w:val="20"/>
          <w:szCs w:val="20"/>
        </w:rPr>
      </w:pPr>
    </w:p>
    <w:p w14:paraId="00000007" w14:textId="77777777" w:rsidR="00CE369B" w:rsidRPr="00A1025F" w:rsidRDefault="00000000">
      <w:pPr>
        <w:jc w:val="both"/>
        <w:rPr>
          <w:rFonts w:ascii="Univers" w:eastAsia="Open Sans" w:hAnsi="Univers" w:cs="Open Sans"/>
          <w:b/>
          <w:bCs/>
          <w:sz w:val="24"/>
          <w:szCs w:val="24"/>
        </w:rPr>
      </w:pPr>
      <w:r w:rsidRPr="00A1025F">
        <w:rPr>
          <w:rFonts w:ascii="Univers" w:eastAsia="Open Sans" w:hAnsi="Univers" w:cs="Open Sans"/>
          <w:b/>
          <w:bCs/>
          <w:sz w:val="24"/>
          <w:szCs w:val="24"/>
        </w:rPr>
        <w:t>2. Rationale</w:t>
      </w:r>
    </w:p>
    <w:p w14:paraId="00000008" w14:textId="77777777" w:rsidR="00CE369B" w:rsidRPr="00A1025F" w:rsidRDefault="00CE369B">
      <w:pPr>
        <w:jc w:val="both"/>
        <w:rPr>
          <w:rFonts w:ascii="Univers" w:eastAsia="Open Sans" w:hAnsi="Univers" w:cs="Open Sans"/>
          <w:sz w:val="20"/>
          <w:szCs w:val="20"/>
        </w:rPr>
      </w:pPr>
    </w:p>
    <w:p w14:paraId="00000009" w14:textId="77777777" w:rsidR="00CE369B" w:rsidRPr="00A1025F" w:rsidRDefault="00000000">
      <w:pPr>
        <w:jc w:val="both"/>
        <w:rPr>
          <w:rFonts w:ascii="Univers" w:eastAsia="Open Sans" w:hAnsi="Univers" w:cs="Open Sans"/>
          <w:sz w:val="20"/>
          <w:szCs w:val="20"/>
        </w:rPr>
      </w:pPr>
      <w:r w:rsidRPr="00A1025F">
        <w:rPr>
          <w:rFonts w:ascii="Univers" w:eastAsia="Open Sans" w:hAnsi="Univers" w:cs="Open Sans"/>
          <w:sz w:val="20"/>
          <w:szCs w:val="20"/>
        </w:rPr>
        <w:t>Cross-border activity exposes the Chamber to a range of regulatory, cultural and institutional expectations that vary from one jurisdiction to another. Engagement that is professionally sound in one setting may be inappropriate, or even non-compliant, in another. These standards exist to ensure that cross-border engagement is approached with the discipline required to operate credibly across diverse environments, rather than through an assumption that a single approach will suffice everywhere.</w:t>
      </w:r>
    </w:p>
    <w:p w14:paraId="0000000A" w14:textId="77777777" w:rsidR="00CE369B" w:rsidRPr="00A1025F" w:rsidRDefault="00CE369B">
      <w:pPr>
        <w:jc w:val="both"/>
        <w:rPr>
          <w:rFonts w:ascii="Univers" w:eastAsia="Open Sans" w:hAnsi="Univers" w:cs="Open Sans"/>
          <w:b/>
          <w:bCs/>
          <w:sz w:val="20"/>
          <w:szCs w:val="20"/>
        </w:rPr>
      </w:pPr>
    </w:p>
    <w:p w14:paraId="0000000B" w14:textId="77777777" w:rsidR="00CE369B" w:rsidRPr="00A1025F" w:rsidRDefault="00000000">
      <w:pPr>
        <w:jc w:val="both"/>
        <w:rPr>
          <w:rFonts w:ascii="Univers" w:eastAsia="Open Sans" w:hAnsi="Univers" w:cs="Open Sans"/>
          <w:b/>
          <w:bCs/>
          <w:sz w:val="24"/>
          <w:szCs w:val="24"/>
        </w:rPr>
      </w:pPr>
      <w:r w:rsidRPr="00A1025F">
        <w:rPr>
          <w:rFonts w:ascii="Univers" w:eastAsia="Open Sans" w:hAnsi="Univers" w:cs="Open Sans"/>
          <w:b/>
          <w:bCs/>
          <w:sz w:val="24"/>
          <w:szCs w:val="24"/>
        </w:rPr>
        <w:t>3. Core Principles</w:t>
      </w:r>
    </w:p>
    <w:p w14:paraId="0000000C" w14:textId="77777777" w:rsidR="00CE369B" w:rsidRPr="00A1025F" w:rsidRDefault="00CE369B">
      <w:pPr>
        <w:jc w:val="both"/>
        <w:rPr>
          <w:rFonts w:ascii="Univers" w:eastAsia="Open Sans" w:hAnsi="Univers" w:cs="Open Sans"/>
          <w:sz w:val="20"/>
          <w:szCs w:val="20"/>
        </w:rPr>
      </w:pPr>
    </w:p>
    <w:p w14:paraId="0000000D" w14:textId="77777777" w:rsidR="00CE369B" w:rsidRPr="00A1025F" w:rsidRDefault="00000000">
      <w:pPr>
        <w:jc w:val="both"/>
        <w:rPr>
          <w:rFonts w:ascii="Univers" w:eastAsia="Open Sans" w:hAnsi="Univers" w:cs="Open Sans"/>
          <w:sz w:val="20"/>
          <w:szCs w:val="20"/>
        </w:rPr>
      </w:pPr>
      <w:r w:rsidRPr="00A1025F">
        <w:rPr>
          <w:rFonts w:ascii="Univers" w:eastAsia="Open Sans" w:hAnsi="Univers" w:cs="Open Sans"/>
          <w:sz w:val="20"/>
          <w:szCs w:val="20"/>
        </w:rPr>
        <w:t>Cross-border engagement is governed by jurisdictional respect, meaning that local regulatory frameworks and institutional norms are identified and observed before engagement begins; consistency, meaning that the Chamber's institutional positions do not vary in substance from one jurisdiction to another, even where their presentation is adapted to local context; and professionalism, meaning that all engagement reflects the seriousness expected of an institution operating internationally.</w:t>
      </w:r>
    </w:p>
    <w:p w14:paraId="0000000E" w14:textId="77777777" w:rsidR="00CE369B" w:rsidRPr="00A1025F" w:rsidRDefault="00CE369B">
      <w:pPr>
        <w:jc w:val="both"/>
        <w:rPr>
          <w:rFonts w:ascii="Univers" w:eastAsia="Open Sans" w:hAnsi="Univers" w:cs="Open Sans"/>
          <w:b/>
          <w:bCs/>
          <w:sz w:val="20"/>
          <w:szCs w:val="20"/>
        </w:rPr>
      </w:pPr>
    </w:p>
    <w:p w14:paraId="0000000F" w14:textId="77777777" w:rsidR="00CE369B" w:rsidRPr="00A1025F" w:rsidRDefault="00000000">
      <w:pPr>
        <w:jc w:val="both"/>
        <w:rPr>
          <w:rFonts w:ascii="Univers" w:eastAsia="Open Sans" w:hAnsi="Univers" w:cs="Open Sans"/>
          <w:b/>
          <w:bCs/>
          <w:sz w:val="24"/>
          <w:szCs w:val="24"/>
        </w:rPr>
      </w:pPr>
      <w:r w:rsidRPr="00A1025F">
        <w:rPr>
          <w:rFonts w:ascii="Univers" w:eastAsia="Open Sans" w:hAnsi="Univers" w:cs="Open Sans"/>
          <w:b/>
          <w:bCs/>
          <w:sz w:val="24"/>
          <w:szCs w:val="24"/>
        </w:rPr>
        <w:t>4. Preparation and Conduct</w:t>
      </w:r>
    </w:p>
    <w:p w14:paraId="00000010" w14:textId="77777777" w:rsidR="00CE369B" w:rsidRPr="00A1025F" w:rsidRDefault="00CE369B">
      <w:pPr>
        <w:jc w:val="both"/>
        <w:rPr>
          <w:rFonts w:ascii="Univers" w:eastAsia="Open Sans" w:hAnsi="Univers" w:cs="Open Sans"/>
          <w:sz w:val="20"/>
          <w:szCs w:val="20"/>
        </w:rPr>
      </w:pPr>
    </w:p>
    <w:p w14:paraId="00000011" w14:textId="77777777" w:rsidR="00CE369B" w:rsidRPr="00A1025F" w:rsidRDefault="00000000">
      <w:pPr>
        <w:jc w:val="both"/>
        <w:rPr>
          <w:rFonts w:ascii="Univers" w:eastAsia="Open Sans" w:hAnsi="Univers" w:cs="Open Sans"/>
          <w:sz w:val="20"/>
          <w:szCs w:val="20"/>
        </w:rPr>
      </w:pPr>
      <w:r w:rsidRPr="00A1025F">
        <w:rPr>
          <w:rFonts w:ascii="Univers" w:eastAsia="Open Sans" w:hAnsi="Univers" w:cs="Open Sans"/>
          <w:sz w:val="20"/>
          <w:szCs w:val="20"/>
        </w:rPr>
        <w:t>Prior to engaging in a new jurisdiction, the relevant Secretariat function must identify applicable regulatory considerations, confirm alignment with existing Chamber positions in accordance with the Cross-Jurisdictional Consultation &amp; Coordination Procedures, and ensure that the individuals conducting the engagement are appropriately authorised and briefed. Engagement must be conducted with clarity regarding the capacity in which the Chamber is participating and the extent of any commitments being discussed.</w:t>
      </w:r>
    </w:p>
    <w:p w14:paraId="00000012" w14:textId="77777777" w:rsidR="00CE369B" w:rsidRPr="00A1025F" w:rsidRDefault="00CE369B">
      <w:pPr>
        <w:jc w:val="both"/>
        <w:rPr>
          <w:rFonts w:ascii="Univers" w:eastAsia="Open Sans" w:hAnsi="Univers" w:cs="Open Sans"/>
          <w:b/>
          <w:bCs/>
          <w:sz w:val="20"/>
          <w:szCs w:val="20"/>
        </w:rPr>
      </w:pPr>
    </w:p>
    <w:p w14:paraId="00000013" w14:textId="77777777" w:rsidR="00CE369B" w:rsidRPr="00A1025F" w:rsidRDefault="00000000">
      <w:pPr>
        <w:jc w:val="both"/>
        <w:rPr>
          <w:rFonts w:ascii="Univers" w:eastAsia="Open Sans" w:hAnsi="Univers" w:cs="Open Sans"/>
          <w:b/>
          <w:bCs/>
          <w:sz w:val="24"/>
          <w:szCs w:val="24"/>
        </w:rPr>
      </w:pPr>
      <w:r w:rsidRPr="00A1025F">
        <w:rPr>
          <w:rFonts w:ascii="Univers" w:eastAsia="Open Sans" w:hAnsi="Univers" w:cs="Open Sans"/>
          <w:b/>
          <w:bCs/>
          <w:sz w:val="24"/>
          <w:szCs w:val="24"/>
        </w:rPr>
        <w:t>5. Institutional Cooperation</w:t>
      </w:r>
    </w:p>
    <w:p w14:paraId="00000014" w14:textId="77777777" w:rsidR="00CE369B" w:rsidRPr="00A1025F" w:rsidRDefault="00CE369B">
      <w:pPr>
        <w:jc w:val="both"/>
        <w:rPr>
          <w:rFonts w:ascii="Univers" w:eastAsia="Open Sans" w:hAnsi="Univers" w:cs="Open Sans"/>
          <w:sz w:val="20"/>
          <w:szCs w:val="20"/>
        </w:rPr>
      </w:pPr>
    </w:p>
    <w:p w14:paraId="0000001A" w14:textId="74E61A34" w:rsidR="00CE369B" w:rsidRPr="00A1025F" w:rsidRDefault="00000000">
      <w:pPr>
        <w:jc w:val="both"/>
        <w:rPr>
          <w:rFonts w:ascii="Univers" w:eastAsia="Open Sans" w:hAnsi="Univers" w:cs="Open Sans"/>
          <w:sz w:val="20"/>
          <w:szCs w:val="20"/>
        </w:rPr>
      </w:pPr>
      <w:r w:rsidRPr="00A1025F">
        <w:rPr>
          <w:rFonts w:ascii="Univers" w:eastAsia="Open Sans" w:hAnsi="Univers" w:cs="Open Sans"/>
          <w:sz w:val="20"/>
          <w:szCs w:val="20"/>
        </w:rPr>
        <w:t>Where cross-border engagement involves cooperation with another institution, whether governmental, multilateral or private-sector, the terms of that cooperation must be clearly understood and, where appropriate, documented before substantive activity proceeds. This prevents ambiguity regarding the respective roles, responsibilities and expectations of each party.</w:t>
      </w:r>
    </w:p>
    <w:p w14:paraId="0000001B" w14:textId="77777777" w:rsidR="00CE369B" w:rsidRPr="00A1025F" w:rsidRDefault="00CE369B">
      <w:pPr>
        <w:jc w:val="both"/>
        <w:rPr>
          <w:rFonts w:ascii="Univers" w:eastAsia="Open Sans" w:hAnsi="Univers" w:cs="Open Sans"/>
          <w:b/>
          <w:bCs/>
          <w:sz w:val="20"/>
          <w:szCs w:val="20"/>
        </w:rPr>
      </w:pPr>
    </w:p>
    <w:p w14:paraId="0000001C" w14:textId="77777777" w:rsidR="00CE369B" w:rsidRPr="00A1025F" w:rsidRDefault="00000000">
      <w:pPr>
        <w:jc w:val="both"/>
        <w:rPr>
          <w:rFonts w:ascii="Univers" w:eastAsia="Open Sans" w:hAnsi="Univers" w:cs="Open Sans"/>
          <w:b/>
          <w:bCs/>
          <w:sz w:val="24"/>
          <w:szCs w:val="24"/>
        </w:rPr>
      </w:pPr>
      <w:r w:rsidRPr="00A1025F">
        <w:rPr>
          <w:rFonts w:ascii="Univers" w:eastAsia="Open Sans" w:hAnsi="Univers" w:cs="Open Sans"/>
          <w:b/>
          <w:bCs/>
          <w:sz w:val="24"/>
          <w:szCs w:val="24"/>
        </w:rPr>
        <w:t>6. Documentation and Reporting</w:t>
      </w:r>
    </w:p>
    <w:p w14:paraId="0000001D" w14:textId="77777777" w:rsidR="00CE369B" w:rsidRPr="00A1025F" w:rsidRDefault="00CE369B">
      <w:pPr>
        <w:jc w:val="both"/>
        <w:rPr>
          <w:rFonts w:ascii="Univers" w:eastAsia="Open Sans" w:hAnsi="Univers" w:cs="Open Sans"/>
          <w:sz w:val="20"/>
          <w:szCs w:val="20"/>
        </w:rPr>
      </w:pPr>
    </w:p>
    <w:p w14:paraId="0000001E" w14:textId="77777777" w:rsidR="00CE369B" w:rsidRPr="00A1025F" w:rsidRDefault="00000000">
      <w:pPr>
        <w:jc w:val="both"/>
        <w:rPr>
          <w:rFonts w:ascii="Univers" w:eastAsia="Open Sans" w:hAnsi="Univers" w:cs="Open Sans"/>
          <w:sz w:val="20"/>
          <w:szCs w:val="20"/>
        </w:rPr>
      </w:pPr>
      <w:r w:rsidRPr="00A1025F">
        <w:rPr>
          <w:rFonts w:ascii="Univers" w:eastAsia="Open Sans" w:hAnsi="Univers" w:cs="Open Sans"/>
          <w:sz w:val="20"/>
          <w:szCs w:val="20"/>
        </w:rPr>
        <w:t>All cross-border engagement must be recorded in accordance with the Cross-Border Engagement Record-Keeping Protocols and the Record-Keeping &amp; Documentation Standards. Material developments arising from cross-border engagement, including any matter affecting the Chamber's neutrality or standing in a given jurisdiction, must be reported to Executive Leadership without delay.</w:t>
      </w:r>
    </w:p>
    <w:p w14:paraId="0000001F" w14:textId="77777777" w:rsidR="00CE369B" w:rsidRPr="00A1025F" w:rsidRDefault="00CE369B">
      <w:pPr>
        <w:jc w:val="both"/>
        <w:rPr>
          <w:rFonts w:ascii="Univers" w:eastAsia="Open Sans" w:hAnsi="Univers" w:cs="Open Sans"/>
          <w:b/>
          <w:bCs/>
          <w:sz w:val="20"/>
          <w:szCs w:val="20"/>
        </w:rPr>
      </w:pPr>
    </w:p>
    <w:p w14:paraId="00000020" w14:textId="77777777" w:rsidR="00CE369B" w:rsidRPr="00A1025F" w:rsidRDefault="00000000">
      <w:pPr>
        <w:jc w:val="both"/>
        <w:rPr>
          <w:rFonts w:ascii="Univers" w:eastAsia="Open Sans" w:hAnsi="Univers" w:cs="Open Sans"/>
          <w:b/>
          <w:bCs/>
          <w:sz w:val="24"/>
          <w:szCs w:val="24"/>
        </w:rPr>
      </w:pPr>
      <w:r w:rsidRPr="00A1025F">
        <w:rPr>
          <w:rFonts w:ascii="Univers" w:eastAsia="Open Sans" w:hAnsi="Univers" w:cs="Open Sans"/>
          <w:b/>
          <w:bCs/>
          <w:sz w:val="24"/>
          <w:szCs w:val="24"/>
        </w:rPr>
        <w:t>7. Alignment with Governance Framework</w:t>
      </w:r>
    </w:p>
    <w:p w14:paraId="00000021" w14:textId="77777777" w:rsidR="00CE369B" w:rsidRPr="00A1025F" w:rsidRDefault="00CE369B">
      <w:pPr>
        <w:jc w:val="both"/>
        <w:rPr>
          <w:rFonts w:ascii="Univers" w:eastAsia="Open Sans" w:hAnsi="Univers" w:cs="Open Sans"/>
          <w:sz w:val="20"/>
          <w:szCs w:val="20"/>
        </w:rPr>
      </w:pPr>
    </w:p>
    <w:p w14:paraId="00000022" w14:textId="77777777" w:rsidR="00CE369B" w:rsidRPr="00A1025F" w:rsidRDefault="00000000">
      <w:pPr>
        <w:jc w:val="both"/>
        <w:rPr>
          <w:rFonts w:ascii="Univers" w:eastAsia="Open Sans" w:hAnsi="Univers" w:cs="Open Sans"/>
          <w:sz w:val="20"/>
          <w:szCs w:val="20"/>
        </w:rPr>
      </w:pPr>
      <w:r w:rsidRPr="00A1025F">
        <w:rPr>
          <w:rFonts w:ascii="Univers" w:eastAsia="Open Sans" w:hAnsi="Univers" w:cs="Open Sans"/>
          <w:sz w:val="20"/>
          <w:szCs w:val="20"/>
        </w:rPr>
        <w:t>These standards ensure that the Chamber's international activity is conducted with consistency, respect for jurisdictional diversity and the institutional discipline necessary to sustain credibility as a genuinely cross-border organisation.</w:t>
      </w:r>
    </w:p>
    <w:p w14:paraId="00000023" w14:textId="77777777" w:rsidR="00CE369B" w:rsidRPr="00A1025F" w:rsidRDefault="00CE369B">
      <w:pPr>
        <w:rPr>
          <w:rFonts w:ascii="Univers" w:eastAsia="Open Sans" w:hAnsi="Univers" w:cs="Open Sans"/>
          <w:sz w:val="20"/>
          <w:szCs w:val="20"/>
        </w:rPr>
      </w:pPr>
    </w:p>
    <w:sectPr w:rsidR="00CE369B" w:rsidRPr="00A1025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A4FC7D2-B6A1-45FD-8F4B-DD14BE1E62C6}"/>
    <w:embedItalic r:id="rId2" w:fontKey="{0B9DC4BC-C820-4405-B00A-BB26FAF2F150}"/>
  </w:font>
  <w:font w:name="Play">
    <w:charset w:val="00"/>
    <w:family w:val="auto"/>
    <w:pitch w:val="default"/>
    <w:embedRegular r:id="rId3" w:fontKey="{2D3E2C83-B07E-4601-936F-1CECA39E50BF}"/>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1D694C61-8A72-4F88-B82C-6D5CE2E72572}"/>
    <w:embedBold r:id="rId5" w:fontKey="{5037A87A-65F5-4880-ACED-3B765BE12C2B}"/>
  </w:font>
  <w:font w:name="Open Sans">
    <w:charset w:val="00"/>
    <w:family w:val="swiss"/>
    <w:pitch w:val="variable"/>
    <w:sig w:usb0="E00002EF" w:usb1="4000205B" w:usb2="00000028" w:usb3="00000000" w:csb0="0000019F" w:csb1="00000000"/>
    <w:embedRegular r:id="rId6" w:fontKey="{0A0EB2E2-465E-484B-89FB-4095A7F32F7E}"/>
    <w:embedBold r:id="rId7" w:fontKey="{8A8B8C6A-693D-47E1-A4BB-33DBF5EBE394}"/>
  </w:font>
  <w:font w:name="Calibri">
    <w:panose1 w:val="020F0502020204030204"/>
    <w:charset w:val="00"/>
    <w:family w:val="swiss"/>
    <w:pitch w:val="variable"/>
    <w:sig w:usb0="E4002EFF" w:usb1="C200247B" w:usb2="00000009" w:usb3="00000000" w:csb0="000001FF" w:csb1="00000000"/>
    <w:embedRegular r:id="rId8" w:fontKey="{57A76EF7-E4E6-4923-87A3-FEEA37BF86E3}"/>
  </w:font>
  <w:font w:name="Cambria">
    <w:panose1 w:val="02040503050406030204"/>
    <w:charset w:val="00"/>
    <w:family w:val="roman"/>
    <w:pitch w:val="variable"/>
    <w:sig w:usb0="E00006FF" w:usb1="420024FF" w:usb2="02000000" w:usb3="00000000" w:csb0="0000019F" w:csb1="00000000"/>
    <w:embedRegular r:id="rId9" w:fontKey="{19C0BD5C-FF9E-4932-989A-EBDE5F1D3A0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69B"/>
    <w:rsid w:val="00891F3E"/>
    <w:rsid w:val="00A1025F"/>
    <w:rsid w:val="00CE36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921C"/>
  <w15:docId w15:val="{5F065FE8-6D94-4295-B29B-F3B16481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scSJh7jAC2n286VP8Gtz2ytxA==">CgMxLjA4AHIhMUE4Y0JBTzlaRHpPZmR3LXczb2R1Rkp6Z0FiN1NHa0FZ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468</Words>
  <Characters>2668</Characters>
  <Application>Microsoft Office Word</Application>
  <DocSecurity>0</DocSecurity>
  <Lines>22</Lines>
  <Paragraphs>6</Paragraphs>
  <ScaleCrop>false</ScaleCrop>
  <Company>Department of Education</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2026-07-23T09:13:00Z</dcterms:created>
  <dcterms:modified xsi:type="dcterms:W3CDTF">2026-07-23T09:13:00Z</dcterms:modified>
</cp:coreProperties>
</file>