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00414" w:rsidRPr="003B327A" w:rsidRDefault="00000000">
      <w:pPr>
        <w:jc w:val="center"/>
        <w:rPr>
          <w:rFonts w:ascii="Univers" w:eastAsia="Open Sans" w:hAnsi="Univers" w:cs="Open Sans"/>
          <w:b/>
          <w:bCs/>
          <w:sz w:val="24"/>
          <w:szCs w:val="24"/>
        </w:rPr>
      </w:pPr>
      <w:r w:rsidRPr="003B327A">
        <w:rPr>
          <w:rFonts w:ascii="Univers" w:eastAsia="Open Sans" w:hAnsi="Univers" w:cs="Open Sans"/>
          <w:b/>
          <w:bCs/>
          <w:sz w:val="24"/>
          <w:szCs w:val="24"/>
        </w:rPr>
        <w:t>DOCUMENTATION STANDARDS FOR GOVERNANCE &amp; DECISION-MAKING</w:t>
      </w:r>
    </w:p>
    <w:p w14:paraId="00000002" w14:textId="77777777" w:rsidR="00400414" w:rsidRPr="003B327A" w:rsidRDefault="00400414">
      <w:pPr>
        <w:rPr>
          <w:rFonts w:ascii="Univers" w:eastAsia="Open Sans" w:hAnsi="Univers" w:cs="Open Sans"/>
          <w:sz w:val="20"/>
          <w:szCs w:val="20"/>
        </w:rPr>
      </w:pPr>
    </w:p>
    <w:p w14:paraId="00000003" w14:textId="77777777" w:rsidR="00400414" w:rsidRPr="003B327A" w:rsidRDefault="00000000">
      <w:pPr>
        <w:jc w:val="both"/>
        <w:rPr>
          <w:rFonts w:ascii="Univers" w:eastAsia="Open Sans" w:hAnsi="Univers" w:cs="Open Sans"/>
          <w:b/>
          <w:bCs/>
          <w:sz w:val="24"/>
          <w:szCs w:val="24"/>
        </w:rPr>
      </w:pPr>
      <w:r w:rsidRPr="003B327A">
        <w:rPr>
          <w:rFonts w:ascii="Univers" w:eastAsia="Open Sans" w:hAnsi="Univers" w:cs="Open Sans"/>
          <w:b/>
          <w:bCs/>
          <w:sz w:val="24"/>
          <w:szCs w:val="24"/>
        </w:rPr>
        <w:t>1. Purpose and Scope</w:t>
      </w:r>
    </w:p>
    <w:p w14:paraId="00000004" w14:textId="77777777" w:rsidR="00400414" w:rsidRPr="003B327A" w:rsidRDefault="00400414">
      <w:pPr>
        <w:jc w:val="both"/>
        <w:rPr>
          <w:rFonts w:ascii="Univers" w:eastAsia="Open Sans" w:hAnsi="Univers" w:cs="Open Sans"/>
          <w:sz w:val="20"/>
          <w:szCs w:val="20"/>
        </w:rPr>
      </w:pPr>
    </w:p>
    <w:p w14:paraId="00000005" w14:textId="77777777" w:rsidR="00400414" w:rsidRPr="003B327A" w:rsidRDefault="00000000">
      <w:pPr>
        <w:jc w:val="both"/>
        <w:rPr>
          <w:rFonts w:ascii="Univers" w:eastAsia="Open Sans" w:hAnsi="Univers" w:cs="Open Sans"/>
          <w:sz w:val="20"/>
          <w:szCs w:val="20"/>
        </w:rPr>
      </w:pPr>
      <w:r w:rsidRPr="003B327A">
        <w:rPr>
          <w:rFonts w:ascii="Univers" w:eastAsia="Open Sans" w:hAnsi="Univers" w:cs="Open Sans"/>
          <w:sz w:val="20"/>
          <w:szCs w:val="20"/>
        </w:rPr>
        <w:t>The Documentation Standards for Governance &amp; Decision-Making set out the specific requirements that apply to records generated through the Chamber's governance and decision-making processes, building on the Core Record-Keeping Requirements with standards particular to the sensitivity, authority and institutional weight these records carry. They apply to all governance bodies — the Governing Council, Executive Leadership, the Executive Secretariat and Oversight &amp; Compliance Functions — whenever a decision is originated, assessed, approved or implemented.</w:t>
      </w:r>
    </w:p>
    <w:p w14:paraId="00000006" w14:textId="77777777" w:rsidR="00400414" w:rsidRPr="003B327A" w:rsidRDefault="00400414">
      <w:pPr>
        <w:jc w:val="both"/>
        <w:rPr>
          <w:rFonts w:ascii="Univers" w:eastAsia="Open Sans" w:hAnsi="Univers" w:cs="Open Sans"/>
          <w:b/>
          <w:bCs/>
          <w:sz w:val="20"/>
          <w:szCs w:val="20"/>
        </w:rPr>
      </w:pPr>
    </w:p>
    <w:p w14:paraId="00000007" w14:textId="77777777" w:rsidR="00400414" w:rsidRPr="003B327A" w:rsidRDefault="00000000">
      <w:pPr>
        <w:jc w:val="both"/>
        <w:rPr>
          <w:rFonts w:ascii="Univers" w:eastAsia="Open Sans" w:hAnsi="Univers" w:cs="Open Sans"/>
          <w:b/>
          <w:bCs/>
          <w:sz w:val="24"/>
          <w:szCs w:val="24"/>
        </w:rPr>
      </w:pPr>
      <w:r w:rsidRPr="003B327A">
        <w:rPr>
          <w:rFonts w:ascii="Univers" w:eastAsia="Open Sans" w:hAnsi="Univers" w:cs="Open Sans"/>
          <w:b/>
          <w:bCs/>
          <w:sz w:val="24"/>
          <w:szCs w:val="24"/>
        </w:rPr>
        <w:t>2. Documentation of Proposal and Origination</w:t>
      </w:r>
    </w:p>
    <w:p w14:paraId="00000008" w14:textId="77777777" w:rsidR="00400414" w:rsidRPr="003B327A" w:rsidRDefault="00400414">
      <w:pPr>
        <w:jc w:val="both"/>
        <w:rPr>
          <w:rFonts w:ascii="Univers" w:eastAsia="Open Sans" w:hAnsi="Univers" w:cs="Open Sans"/>
          <w:sz w:val="20"/>
          <w:szCs w:val="20"/>
        </w:rPr>
      </w:pPr>
    </w:p>
    <w:p w14:paraId="00000009" w14:textId="77777777" w:rsidR="00400414" w:rsidRPr="003B327A" w:rsidRDefault="00000000">
      <w:pPr>
        <w:jc w:val="both"/>
        <w:rPr>
          <w:rFonts w:ascii="Univers" w:eastAsia="Open Sans" w:hAnsi="Univers" w:cs="Open Sans"/>
          <w:sz w:val="20"/>
          <w:szCs w:val="20"/>
        </w:rPr>
      </w:pPr>
      <w:r w:rsidRPr="003B327A">
        <w:rPr>
          <w:rFonts w:ascii="Univers" w:eastAsia="Open Sans" w:hAnsi="Univers" w:cs="Open Sans"/>
          <w:sz w:val="20"/>
          <w:szCs w:val="20"/>
        </w:rPr>
        <w:t>Every proposal entering the Chamber's decision-making process must be captured in an Institutional Decision Memorandum, recording its purpose, rationale, relevant background, options considered and the approvals required for implementation. This documentation must exist prior to assessment and may not be reconstructed retrospectively to justify a decision already taken.</w:t>
      </w:r>
    </w:p>
    <w:p w14:paraId="0000000A" w14:textId="77777777" w:rsidR="00400414" w:rsidRPr="003B327A" w:rsidRDefault="00400414">
      <w:pPr>
        <w:jc w:val="both"/>
        <w:rPr>
          <w:rFonts w:ascii="Univers" w:eastAsia="Open Sans" w:hAnsi="Univers" w:cs="Open Sans"/>
          <w:b/>
          <w:bCs/>
          <w:sz w:val="20"/>
          <w:szCs w:val="20"/>
        </w:rPr>
      </w:pPr>
    </w:p>
    <w:p w14:paraId="0000000B" w14:textId="77777777" w:rsidR="00400414" w:rsidRPr="003B327A" w:rsidRDefault="00000000">
      <w:pPr>
        <w:jc w:val="both"/>
        <w:rPr>
          <w:rFonts w:ascii="Univers" w:eastAsia="Open Sans" w:hAnsi="Univers" w:cs="Open Sans"/>
          <w:b/>
          <w:bCs/>
          <w:sz w:val="24"/>
          <w:szCs w:val="24"/>
        </w:rPr>
      </w:pPr>
      <w:r w:rsidRPr="003B327A">
        <w:rPr>
          <w:rFonts w:ascii="Univers" w:eastAsia="Open Sans" w:hAnsi="Univers" w:cs="Open Sans"/>
          <w:b/>
          <w:bCs/>
          <w:sz w:val="24"/>
          <w:szCs w:val="24"/>
        </w:rPr>
        <w:t>3. Documentation of Assessment and Review</w:t>
      </w:r>
    </w:p>
    <w:p w14:paraId="0000000C" w14:textId="77777777" w:rsidR="00400414" w:rsidRPr="003B327A" w:rsidRDefault="00400414">
      <w:pPr>
        <w:jc w:val="both"/>
        <w:rPr>
          <w:rFonts w:ascii="Univers" w:eastAsia="Open Sans" w:hAnsi="Univers" w:cs="Open Sans"/>
          <w:sz w:val="20"/>
          <w:szCs w:val="20"/>
        </w:rPr>
      </w:pPr>
    </w:p>
    <w:p w14:paraId="0000000D" w14:textId="77777777" w:rsidR="00400414" w:rsidRPr="003B327A" w:rsidRDefault="00000000">
      <w:pPr>
        <w:jc w:val="both"/>
        <w:rPr>
          <w:rFonts w:ascii="Univers" w:eastAsia="Open Sans" w:hAnsi="Univers" w:cs="Open Sans"/>
          <w:sz w:val="20"/>
          <w:szCs w:val="20"/>
        </w:rPr>
      </w:pPr>
      <w:r w:rsidRPr="003B327A">
        <w:rPr>
          <w:rFonts w:ascii="Univers" w:eastAsia="Open Sans" w:hAnsi="Univers" w:cs="Open Sans"/>
          <w:sz w:val="20"/>
          <w:szCs w:val="20"/>
        </w:rPr>
        <w:t>Assessment findings — neutrality review, risk review, compliance review and operational feasibility review — must be recorded in sufficient detail to demonstrate that each was genuinely undertaken, rather than merely referenced. These findings must be attached to the originating Decision Memorandum so that the reasoning behind a governance decision remains traceable in its entirety.</w:t>
      </w:r>
    </w:p>
    <w:p w14:paraId="0000000E" w14:textId="77777777" w:rsidR="00400414" w:rsidRPr="003B327A" w:rsidRDefault="00400414">
      <w:pPr>
        <w:jc w:val="both"/>
        <w:rPr>
          <w:rFonts w:ascii="Univers" w:eastAsia="Open Sans" w:hAnsi="Univers" w:cs="Open Sans"/>
          <w:b/>
          <w:bCs/>
          <w:sz w:val="20"/>
          <w:szCs w:val="20"/>
        </w:rPr>
      </w:pPr>
    </w:p>
    <w:p w14:paraId="0000000F" w14:textId="77777777" w:rsidR="00400414" w:rsidRPr="003B327A" w:rsidRDefault="00000000">
      <w:pPr>
        <w:jc w:val="both"/>
        <w:rPr>
          <w:rFonts w:ascii="Univers" w:eastAsia="Open Sans" w:hAnsi="Univers" w:cs="Open Sans"/>
          <w:b/>
          <w:bCs/>
          <w:sz w:val="24"/>
          <w:szCs w:val="24"/>
        </w:rPr>
      </w:pPr>
      <w:r w:rsidRPr="003B327A">
        <w:rPr>
          <w:rFonts w:ascii="Univers" w:eastAsia="Open Sans" w:hAnsi="Univers" w:cs="Open Sans"/>
          <w:b/>
          <w:bCs/>
          <w:sz w:val="24"/>
          <w:szCs w:val="24"/>
        </w:rPr>
        <w:t>4. Documentation of Approval</w:t>
      </w:r>
    </w:p>
    <w:p w14:paraId="00000010" w14:textId="77777777" w:rsidR="00400414" w:rsidRPr="003B327A" w:rsidRDefault="00400414">
      <w:pPr>
        <w:jc w:val="both"/>
        <w:rPr>
          <w:rFonts w:ascii="Univers" w:eastAsia="Open Sans" w:hAnsi="Univers" w:cs="Open Sans"/>
          <w:sz w:val="20"/>
          <w:szCs w:val="20"/>
        </w:rPr>
      </w:pPr>
    </w:p>
    <w:p w14:paraId="00000011" w14:textId="77777777" w:rsidR="00400414" w:rsidRPr="003B327A" w:rsidRDefault="00000000">
      <w:pPr>
        <w:jc w:val="both"/>
        <w:rPr>
          <w:rFonts w:ascii="Univers" w:eastAsia="Open Sans" w:hAnsi="Univers" w:cs="Open Sans"/>
          <w:sz w:val="20"/>
          <w:szCs w:val="20"/>
        </w:rPr>
      </w:pPr>
      <w:r w:rsidRPr="003B327A">
        <w:rPr>
          <w:rFonts w:ascii="Univers" w:eastAsia="Open Sans" w:hAnsi="Univers" w:cs="Open Sans"/>
          <w:sz w:val="20"/>
          <w:szCs w:val="20"/>
        </w:rPr>
        <w:t>Approvals must be recorded through signed decision records or digital approval logs appropriate to the decision's tier, identifying the approving body, the date of approval and any conditions attached. Where a decision is escalated beyond its originating tier, the escalation and the reasoning behind it must be documented alongside the eventual approval, preserving the full decision pathway rather than only its outcome.</w:t>
      </w:r>
    </w:p>
    <w:p w14:paraId="00000012" w14:textId="77777777" w:rsidR="00400414" w:rsidRPr="003B327A" w:rsidRDefault="00400414">
      <w:pPr>
        <w:jc w:val="both"/>
        <w:rPr>
          <w:rFonts w:ascii="Univers" w:eastAsia="Open Sans" w:hAnsi="Univers" w:cs="Open Sans"/>
          <w:b/>
          <w:bCs/>
          <w:sz w:val="20"/>
          <w:szCs w:val="20"/>
        </w:rPr>
      </w:pPr>
    </w:p>
    <w:p w14:paraId="00000013" w14:textId="77777777" w:rsidR="00400414" w:rsidRPr="003B327A" w:rsidRDefault="00000000">
      <w:pPr>
        <w:jc w:val="both"/>
        <w:rPr>
          <w:rFonts w:ascii="Univers" w:eastAsia="Open Sans" w:hAnsi="Univers" w:cs="Open Sans"/>
          <w:b/>
          <w:bCs/>
          <w:sz w:val="24"/>
          <w:szCs w:val="24"/>
        </w:rPr>
      </w:pPr>
      <w:r w:rsidRPr="003B327A">
        <w:rPr>
          <w:rFonts w:ascii="Univers" w:eastAsia="Open Sans" w:hAnsi="Univers" w:cs="Open Sans"/>
          <w:b/>
          <w:bCs/>
          <w:sz w:val="24"/>
          <w:szCs w:val="24"/>
        </w:rPr>
        <w:t>5. Documentation of Implementation and Monitoring</w:t>
      </w:r>
    </w:p>
    <w:p w14:paraId="00000014" w14:textId="77777777" w:rsidR="00400414" w:rsidRPr="003B327A" w:rsidRDefault="00400414">
      <w:pPr>
        <w:jc w:val="both"/>
        <w:rPr>
          <w:rFonts w:ascii="Univers" w:eastAsia="Open Sans" w:hAnsi="Univers" w:cs="Open Sans"/>
          <w:sz w:val="20"/>
          <w:szCs w:val="20"/>
        </w:rPr>
      </w:pPr>
    </w:p>
    <w:p w14:paraId="0000001A" w14:textId="2EE4A744" w:rsidR="00400414" w:rsidRPr="003B327A" w:rsidRDefault="00000000">
      <w:pPr>
        <w:jc w:val="both"/>
        <w:rPr>
          <w:rFonts w:ascii="Univers" w:eastAsia="Open Sans" w:hAnsi="Univers" w:cs="Open Sans"/>
          <w:sz w:val="20"/>
          <w:szCs w:val="20"/>
        </w:rPr>
      </w:pPr>
      <w:r w:rsidRPr="003B327A">
        <w:rPr>
          <w:rFonts w:ascii="Univers" w:eastAsia="Open Sans" w:hAnsi="Univers" w:cs="Open Sans"/>
          <w:sz w:val="20"/>
          <w:szCs w:val="20"/>
        </w:rPr>
        <w:t>Once a decision is approved, implementation notes, monitoring outcomes and any corrective actions must be recorded and linked back to the original decision. This ensures that governance records reflect not only what was decided, but how a decision was carried out and whether it achieved its intended effect — information essential to institutional learning and future oversight.</w:t>
      </w:r>
    </w:p>
    <w:p w14:paraId="0000001B" w14:textId="77777777" w:rsidR="00400414" w:rsidRPr="003B327A" w:rsidRDefault="00400414">
      <w:pPr>
        <w:jc w:val="both"/>
        <w:rPr>
          <w:rFonts w:ascii="Univers" w:eastAsia="Open Sans" w:hAnsi="Univers" w:cs="Open Sans"/>
          <w:b/>
          <w:bCs/>
          <w:sz w:val="20"/>
          <w:szCs w:val="20"/>
        </w:rPr>
      </w:pPr>
    </w:p>
    <w:p w14:paraId="0000001C" w14:textId="77777777" w:rsidR="00400414" w:rsidRPr="003B327A" w:rsidRDefault="00000000">
      <w:pPr>
        <w:jc w:val="both"/>
        <w:rPr>
          <w:rFonts w:ascii="Univers" w:eastAsia="Open Sans" w:hAnsi="Univers" w:cs="Open Sans"/>
          <w:b/>
          <w:bCs/>
          <w:sz w:val="24"/>
          <w:szCs w:val="24"/>
        </w:rPr>
      </w:pPr>
      <w:r w:rsidRPr="003B327A">
        <w:rPr>
          <w:rFonts w:ascii="Univers" w:eastAsia="Open Sans" w:hAnsi="Univers" w:cs="Open Sans"/>
          <w:b/>
          <w:bCs/>
          <w:sz w:val="24"/>
          <w:szCs w:val="24"/>
        </w:rPr>
        <w:t>6. Standards of Form and Retention</w:t>
      </w:r>
    </w:p>
    <w:p w14:paraId="0000001D" w14:textId="77777777" w:rsidR="00400414" w:rsidRPr="003B327A" w:rsidRDefault="00400414">
      <w:pPr>
        <w:jc w:val="both"/>
        <w:rPr>
          <w:rFonts w:ascii="Univers" w:eastAsia="Open Sans" w:hAnsi="Univers" w:cs="Open Sans"/>
          <w:sz w:val="20"/>
          <w:szCs w:val="20"/>
        </w:rPr>
      </w:pPr>
    </w:p>
    <w:p w14:paraId="0000001E" w14:textId="77777777" w:rsidR="00400414" w:rsidRPr="003B327A" w:rsidRDefault="00000000">
      <w:pPr>
        <w:jc w:val="both"/>
        <w:rPr>
          <w:rFonts w:ascii="Univers" w:eastAsia="Open Sans" w:hAnsi="Univers" w:cs="Open Sans"/>
          <w:sz w:val="20"/>
          <w:szCs w:val="20"/>
        </w:rPr>
      </w:pPr>
      <w:r w:rsidRPr="003B327A">
        <w:rPr>
          <w:rFonts w:ascii="Univers" w:eastAsia="Open Sans" w:hAnsi="Univers" w:cs="Open Sans"/>
          <w:sz w:val="20"/>
          <w:szCs w:val="20"/>
        </w:rPr>
        <w:t>Governance and decision-making records must be maintained in a standardized form that allows comparison across decisions and jurisdictions, retained for periods consistent with their institutional significance, and made available to oversight functions without requiring reconstruction from informal correspondence. Records that fail to meet these standards are treated as incomplete for governance purposes.</w:t>
      </w:r>
    </w:p>
    <w:p w14:paraId="0000001F" w14:textId="77777777" w:rsidR="00400414" w:rsidRPr="003B327A" w:rsidRDefault="00400414">
      <w:pPr>
        <w:jc w:val="both"/>
        <w:rPr>
          <w:rFonts w:ascii="Univers" w:eastAsia="Open Sans" w:hAnsi="Univers" w:cs="Open Sans"/>
          <w:sz w:val="20"/>
          <w:szCs w:val="20"/>
        </w:rPr>
      </w:pPr>
    </w:p>
    <w:p w14:paraId="00000020" w14:textId="77777777" w:rsidR="00400414" w:rsidRPr="003B327A" w:rsidRDefault="00000000">
      <w:pPr>
        <w:jc w:val="both"/>
        <w:rPr>
          <w:rFonts w:ascii="Univers" w:eastAsia="Open Sans" w:hAnsi="Univers" w:cs="Open Sans"/>
          <w:b/>
          <w:bCs/>
          <w:sz w:val="24"/>
          <w:szCs w:val="24"/>
        </w:rPr>
      </w:pPr>
      <w:r w:rsidRPr="003B327A">
        <w:rPr>
          <w:rFonts w:ascii="Univers" w:eastAsia="Open Sans" w:hAnsi="Univers" w:cs="Open Sans"/>
          <w:b/>
          <w:bCs/>
          <w:sz w:val="24"/>
          <w:szCs w:val="24"/>
        </w:rPr>
        <w:t>7. Institutional Significance</w:t>
      </w:r>
    </w:p>
    <w:p w14:paraId="00000021" w14:textId="77777777" w:rsidR="00400414" w:rsidRPr="003B327A" w:rsidRDefault="00400414">
      <w:pPr>
        <w:jc w:val="both"/>
        <w:rPr>
          <w:rFonts w:ascii="Univers" w:eastAsia="Open Sans" w:hAnsi="Univers" w:cs="Open Sans"/>
          <w:sz w:val="20"/>
          <w:szCs w:val="20"/>
        </w:rPr>
      </w:pPr>
    </w:p>
    <w:p w14:paraId="00000022" w14:textId="77777777" w:rsidR="00400414" w:rsidRPr="003B327A" w:rsidRDefault="00000000">
      <w:pPr>
        <w:jc w:val="both"/>
        <w:rPr>
          <w:rFonts w:ascii="Univers" w:eastAsia="Open Sans" w:hAnsi="Univers" w:cs="Open Sans"/>
          <w:sz w:val="20"/>
          <w:szCs w:val="20"/>
        </w:rPr>
      </w:pPr>
      <w:r w:rsidRPr="003B327A">
        <w:rPr>
          <w:rFonts w:ascii="Univers" w:eastAsia="Open Sans" w:hAnsi="Univers" w:cs="Open Sans"/>
          <w:sz w:val="20"/>
          <w:szCs w:val="20"/>
        </w:rPr>
        <w:lastRenderedPageBreak/>
        <w:t>Rigorous documentation of governance and decision-making is what distinguishes disciplined institutional conduct from informal or discretionary practice. It allows the Chamber to demonstrate, at any point, that its decisions were made through defined procedures, assessed against consistent criteria and implemented with accountability — a standard members should expect of any institution engaged in international economic governance.</w:t>
      </w:r>
    </w:p>
    <w:p w14:paraId="00000023" w14:textId="77777777" w:rsidR="00400414" w:rsidRPr="003B327A" w:rsidRDefault="00400414">
      <w:pPr>
        <w:rPr>
          <w:rFonts w:ascii="Univers" w:eastAsia="Open Sans" w:hAnsi="Univers" w:cs="Open Sans"/>
          <w:sz w:val="20"/>
          <w:szCs w:val="20"/>
        </w:rPr>
      </w:pPr>
    </w:p>
    <w:p w14:paraId="00000024" w14:textId="77777777" w:rsidR="00400414" w:rsidRPr="003B327A" w:rsidRDefault="00400414">
      <w:pPr>
        <w:rPr>
          <w:rFonts w:ascii="Univers" w:eastAsia="Open Sans" w:hAnsi="Univers" w:cs="Open Sans"/>
          <w:sz w:val="20"/>
          <w:szCs w:val="20"/>
        </w:rPr>
      </w:pPr>
    </w:p>
    <w:p w14:paraId="00000025" w14:textId="77777777" w:rsidR="00400414" w:rsidRPr="003B327A" w:rsidRDefault="00400414">
      <w:pPr>
        <w:rPr>
          <w:rFonts w:ascii="Univers" w:eastAsia="Open Sans" w:hAnsi="Univers" w:cs="Open Sans"/>
          <w:sz w:val="20"/>
          <w:szCs w:val="20"/>
        </w:rPr>
      </w:pPr>
    </w:p>
    <w:sectPr w:rsidR="00400414" w:rsidRPr="003B327A">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FF07BFE6-B203-409C-806B-CE60D4DE3A26}"/>
    <w:embedItalic r:id="rId2" w:fontKey="{43AF7803-DB41-4849-8441-578B82AAA2D6}"/>
  </w:font>
  <w:font w:name="Play">
    <w:charset w:val="00"/>
    <w:family w:val="auto"/>
    <w:pitch w:val="default"/>
    <w:embedRegular r:id="rId3" w:fontKey="{7517CFC6-336B-4127-8DBD-1E4A2C3D7F8B}"/>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26DF5393-ECEE-43C6-A3F5-15247260BE1F}"/>
    <w:embedBold r:id="rId5" w:fontKey="{33E2387F-9DBB-4B10-A886-A53B32FFA954}"/>
  </w:font>
  <w:font w:name="Open Sans">
    <w:charset w:val="00"/>
    <w:family w:val="swiss"/>
    <w:pitch w:val="variable"/>
    <w:sig w:usb0="E00002EF" w:usb1="4000205B" w:usb2="00000028" w:usb3="00000000" w:csb0="0000019F" w:csb1="00000000"/>
    <w:embedRegular r:id="rId6" w:fontKey="{6F0C4F66-3E88-412F-A9D1-B4C696D98E3F}"/>
    <w:embedBold r:id="rId7" w:fontKey="{68F5AF75-009C-426E-ADE0-BBEB8D596330}"/>
  </w:font>
  <w:font w:name="Calibri">
    <w:panose1 w:val="020F0502020204030204"/>
    <w:charset w:val="00"/>
    <w:family w:val="swiss"/>
    <w:pitch w:val="variable"/>
    <w:sig w:usb0="E4002EFF" w:usb1="C200247B" w:usb2="00000009" w:usb3="00000000" w:csb0="000001FF" w:csb1="00000000"/>
    <w:embedRegular r:id="rId8" w:fontKey="{A3A93C78-6D5C-4B53-AFB7-A2E4131CCE7F}"/>
  </w:font>
  <w:font w:name="Cambria">
    <w:panose1 w:val="02040503050406030204"/>
    <w:charset w:val="00"/>
    <w:family w:val="roman"/>
    <w:pitch w:val="variable"/>
    <w:sig w:usb0="E00006FF" w:usb1="420024FF" w:usb2="02000000" w:usb3="00000000" w:csb0="0000019F" w:csb1="00000000"/>
    <w:embedRegular r:id="rId9" w:fontKey="{47AD5C69-FAD6-424B-93D3-EDBA098F6BB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414"/>
    <w:rsid w:val="003B327A"/>
    <w:rsid w:val="00400414"/>
    <w:rsid w:val="00733F2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3DEBC"/>
  <w15:docId w15:val="{9A0139BF-A6D5-464D-B4E9-78102A328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4bc41gCD0UjG7uMmONNtHSX8jA==">CgMxLjA4AHIhMTFUdHVMNlh6T0RMSW1ZajJJOXNfc0JYamVzRVFOeHVj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491</Words>
  <Characters>2802</Characters>
  <Application>Microsoft Office Word</Application>
  <DocSecurity>0</DocSecurity>
  <Lines>23</Lines>
  <Paragraphs>6</Paragraphs>
  <ScaleCrop>false</ScaleCrop>
  <Company>Department of Education</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2026-07-23T09:16:00Z</dcterms:created>
  <dcterms:modified xsi:type="dcterms:W3CDTF">2026-07-23T09:16:00Z</dcterms:modified>
</cp:coreProperties>
</file>