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353B3" w:rsidRPr="00082EAD" w:rsidRDefault="00000000">
      <w:pPr>
        <w:jc w:val="center"/>
        <w:rPr>
          <w:rFonts w:ascii="Univers" w:eastAsia="Open Sans" w:hAnsi="Univers" w:cs="Open Sans"/>
          <w:b/>
          <w:bCs/>
          <w:sz w:val="24"/>
          <w:szCs w:val="24"/>
        </w:rPr>
      </w:pPr>
      <w:r w:rsidRPr="00082EAD">
        <w:rPr>
          <w:rFonts w:ascii="Univers" w:eastAsia="Open Sans" w:hAnsi="Univers" w:cs="Open Sans"/>
          <w:b/>
          <w:bCs/>
          <w:sz w:val="24"/>
          <w:szCs w:val="24"/>
        </w:rPr>
        <w:t>STAKEHOLDER COORDINATION &amp; ENGAGEMENT STANDARDS</w:t>
      </w:r>
    </w:p>
    <w:p w14:paraId="00000002" w14:textId="77777777" w:rsidR="005353B3" w:rsidRPr="00082EAD" w:rsidRDefault="005353B3">
      <w:pPr>
        <w:rPr>
          <w:rFonts w:ascii="Univers" w:eastAsia="Open Sans" w:hAnsi="Univers" w:cs="Open Sans"/>
          <w:sz w:val="20"/>
          <w:szCs w:val="20"/>
        </w:rPr>
      </w:pPr>
    </w:p>
    <w:p w14:paraId="00000003" w14:textId="77777777" w:rsidR="005353B3" w:rsidRPr="00082EAD" w:rsidRDefault="00000000">
      <w:pPr>
        <w:jc w:val="both"/>
        <w:rPr>
          <w:rFonts w:ascii="Univers" w:eastAsia="Open Sans" w:hAnsi="Univers" w:cs="Open Sans"/>
          <w:b/>
          <w:bCs/>
          <w:sz w:val="24"/>
          <w:szCs w:val="24"/>
        </w:rPr>
      </w:pPr>
      <w:r w:rsidRPr="00082EAD">
        <w:rPr>
          <w:rFonts w:ascii="Univers" w:eastAsia="Open Sans" w:hAnsi="Univers" w:cs="Open Sans"/>
          <w:b/>
          <w:bCs/>
          <w:sz w:val="24"/>
          <w:szCs w:val="24"/>
        </w:rPr>
        <w:t>1. Purpose and Scope</w:t>
      </w:r>
    </w:p>
    <w:p w14:paraId="00000004" w14:textId="77777777" w:rsidR="005353B3" w:rsidRPr="00082EAD" w:rsidRDefault="005353B3">
      <w:pPr>
        <w:jc w:val="both"/>
        <w:rPr>
          <w:rFonts w:ascii="Univers" w:eastAsia="Open Sans" w:hAnsi="Univers" w:cs="Open Sans"/>
          <w:sz w:val="20"/>
          <w:szCs w:val="20"/>
        </w:rPr>
      </w:pPr>
    </w:p>
    <w:p w14:paraId="00000005" w14:textId="77777777" w:rsidR="005353B3" w:rsidRPr="00082EAD" w:rsidRDefault="00000000">
      <w:pPr>
        <w:jc w:val="both"/>
        <w:rPr>
          <w:rFonts w:ascii="Univers" w:eastAsia="Open Sans" w:hAnsi="Univers" w:cs="Open Sans"/>
          <w:sz w:val="20"/>
          <w:szCs w:val="20"/>
        </w:rPr>
      </w:pPr>
      <w:r w:rsidRPr="00082EAD">
        <w:rPr>
          <w:rFonts w:ascii="Univers" w:eastAsia="Open Sans" w:hAnsi="Univers" w:cs="Open Sans"/>
          <w:sz w:val="20"/>
          <w:szCs w:val="20"/>
        </w:rPr>
        <w:t>The Stakeholder Coordination &amp; Engagement Standards define how the Chamber identifies, coordinates with and manages relationships with the range of stakeholders — members, public institutions, partner organisations and regulators — involved in its programs and initiatives.</w:t>
      </w:r>
    </w:p>
    <w:p w14:paraId="00000006" w14:textId="77777777" w:rsidR="005353B3" w:rsidRPr="00082EAD" w:rsidRDefault="005353B3">
      <w:pPr>
        <w:jc w:val="both"/>
        <w:rPr>
          <w:rFonts w:ascii="Univers" w:eastAsia="Open Sans" w:hAnsi="Univers" w:cs="Open Sans"/>
          <w:b/>
          <w:bCs/>
          <w:sz w:val="20"/>
          <w:szCs w:val="20"/>
        </w:rPr>
      </w:pPr>
    </w:p>
    <w:p w14:paraId="00000007" w14:textId="77777777" w:rsidR="005353B3" w:rsidRPr="00082EAD" w:rsidRDefault="00000000">
      <w:pPr>
        <w:jc w:val="both"/>
        <w:rPr>
          <w:rFonts w:ascii="Univers" w:eastAsia="Open Sans" w:hAnsi="Univers" w:cs="Open Sans"/>
          <w:b/>
          <w:bCs/>
          <w:sz w:val="24"/>
          <w:szCs w:val="24"/>
        </w:rPr>
      </w:pPr>
      <w:r w:rsidRPr="00082EAD">
        <w:rPr>
          <w:rFonts w:ascii="Univers" w:eastAsia="Open Sans" w:hAnsi="Univers" w:cs="Open Sans"/>
          <w:b/>
          <w:bCs/>
          <w:sz w:val="24"/>
          <w:szCs w:val="24"/>
        </w:rPr>
        <w:t>2. Stakeholder Identification</w:t>
      </w:r>
    </w:p>
    <w:p w14:paraId="00000008" w14:textId="77777777" w:rsidR="005353B3" w:rsidRPr="00082EAD" w:rsidRDefault="005353B3">
      <w:pPr>
        <w:jc w:val="both"/>
        <w:rPr>
          <w:rFonts w:ascii="Univers" w:eastAsia="Open Sans" w:hAnsi="Univers" w:cs="Open Sans"/>
          <w:sz w:val="20"/>
          <w:szCs w:val="20"/>
        </w:rPr>
      </w:pPr>
    </w:p>
    <w:p w14:paraId="00000009" w14:textId="77777777" w:rsidR="005353B3" w:rsidRPr="00082EAD" w:rsidRDefault="00000000">
      <w:pPr>
        <w:jc w:val="both"/>
        <w:rPr>
          <w:rFonts w:ascii="Univers" w:eastAsia="Open Sans" w:hAnsi="Univers" w:cs="Open Sans"/>
          <w:sz w:val="20"/>
          <w:szCs w:val="20"/>
        </w:rPr>
      </w:pPr>
      <w:r w:rsidRPr="00082EAD">
        <w:rPr>
          <w:rFonts w:ascii="Univers" w:eastAsia="Open Sans" w:hAnsi="Univers" w:cs="Open Sans"/>
          <w:sz w:val="20"/>
          <w:szCs w:val="20"/>
        </w:rPr>
        <w:t>Programs must identify relevant stakeholders at the design stage, distinguishing between participating members, institutions affected by an initiative without direct participation, and public bodies whose regulatory interest requires engagement under separate protocols.</w:t>
      </w:r>
    </w:p>
    <w:p w14:paraId="0000000A" w14:textId="77777777" w:rsidR="005353B3" w:rsidRPr="00082EAD" w:rsidRDefault="005353B3">
      <w:pPr>
        <w:jc w:val="both"/>
        <w:rPr>
          <w:rFonts w:ascii="Univers" w:eastAsia="Open Sans" w:hAnsi="Univers" w:cs="Open Sans"/>
          <w:b/>
          <w:bCs/>
          <w:sz w:val="20"/>
          <w:szCs w:val="20"/>
        </w:rPr>
      </w:pPr>
    </w:p>
    <w:p w14:paraId="0000000B" w14:textId="77777777" w:rsidR="005353B3" w:rsidRPr="00082EAD" w:rsidRDefault="00000000">
      <w:pPr>
        <w:jc w:val="both"/>
        <w:rPr>
          <w:rFonts w:ascii="Univers" w:eastAsia="Open Sans" w:hAnsi="Univers" w:cs="Open Sans"/>
          <w:b/>
          <w:bCs/>
          <w:sz w:val="24"/>
          <w:szCs w:val="24"/>
        </w:rPr>
      </w:pPr>
      <w:r w:rsidRPr="00082EAD">
        <w:rPr>
          <w:rFonts w:ascii="Univers" w:eastAsia="Open Sans" w:hAnsi="Univers" w:cs="Open Sans"/>
          <w:b/>
          <w:bCs/>
          <w:sz w:val="24"/>
          <w:szCs w:val="24"/>
        </w:rPr>
        <w:t>3. Coordination Standards</w:t>
      </w:r>
    </w:p>
    <w:p w14:paraId="0000000C" w14:textId="77777777" w:rsidR="005353B3" w:rsidRPr="00082EAD" w:rsidRDefault="005353B3">
      <w:pPr>
        <w:jc w:val="both"/>
        <w:rPr>
          <w:rFonts w:ascii="Univers" w:eastAsia="Open Sans" w:hAnsi="Univers" w:cs="Open Sans"/>
          <w:sz w:val="20"/>
          <w:szCs w:val="20"/>
        </w:rPr>
      </w:pPr>
    </w:p>
    <w:p w14:paraId="0000000D" w14:textId="77777777" w:rsidR="005353B3" w:rsidRPr="00082EAD" w:rsidRDefault="00000000">
      <w:pPr>
        <w:jc w:val="both"/>
        <w:rPr>
          <w:rFonts w:ascii="Univers" w:eastAsia="Open Sans" w:hAnsi="Univers" w:cs="Open Sans"/>
          <w:sz w:val="20"/>
          <w:szCs w:val="20"/>
        </w:rPr>
      </w:pPr>
      <w:r w:rsidRPr="00082EAD">
        <w:rPr>
          <w:rFonts w:ascii="Univers" w:eastAsia="Open Sans" w:hAnsi="Univers" w:cs="Open Sans"/>
          <w:sz w:val="20"/>
          <w:szCs w:val="20"/>
        </w:rPr>
        <w:t xml:space="preserve">Stakeholder engagement must be conducted through defined channels, with communication consistent, proportionate and aligned with each stakeholder's role </w:t>
      </w:r>
      <w:proofErr w:type="gramStart"/>
      <w:r w:rsidRPr="00082EAD">
        <w:rPr>
          <w:rFonts w:ascii="Univers" w:eastAsia="Open Sans" w:hAnsi="Univers" w:cs="Open Sans"/>
          <w:sz w:val="20"/>
          <w:szCs w:val="20"/>
        </w:rPr>
        <w:t>in a given</w:t>
      </w:r>
      <w:proofErr w:type="gramEnd"/>
      <w:r w:rsidRPr="00082EAD">
        <w:rPr>
          <w:rFonts w:ascii="Univers" w:eastAsia="Open Sans" w:hAnsi="Univers" w:cs="Open Sans"/>
          <w:sz w:val="20"/>
          <w:szCs w:val="20"/>
        </w:rPr>
        <w:t xml:space="preserve"> initiative. Members participating directly are entitled to a fuller degree of engagement than stakeholders consulted incidentally.</w:t>
      </w:r>
    </w:p>
    <w:p w14:paraId="0000000E" w14:textId="77777777" w:rsidR="005353B3" w:rsidRPr="00082EAD" w:rsidRDefault="005353B3">
      <w:pPr>
        <w:jc w:val="both"/>
        <w:rPr>
          <w:rFonts w:ascii="Univers" w:eastAsia="Open Sans" w:hAnsi="Univers" w:cs="Open Sans"/>
          <w:b/>
          <w:bCs/>
          <w:sz w:val="20"/>
          <w:szCs w:val="20"/>
        </w:rPr>
      </w:pPr>
    </w:p>
    <w:p w14:paraId="0000000F" w14:textId="77777777" w:rsidR="005353B3" w:rsidRPr="00082EAD" w:rsidRDefault="00000000">
      <w:pPr>
        <w:jc w:val="both"/>
        <w:rPr>
          <w:rFonts w:ascii="Univers" w:eastAsia="Open Sans" w:hAnsi="Univers" w:cs="Open Sans"/>
          <w:b/>
          <w:bCs/>
          <w:sz w:val="24"/>
          <w:szCs w:val="24"/>
        </w:rPr>
      </w:pPr>
      <w:r w:rsidRPr="00082EAD">
        <w:rPr>
          <w:rFonts w:ascii="Univers" w:eastAsia="Open Sans" w:hAnsi="Univers" w:cs="Open Sans"/>
          <w:b/>
          <w:bCs/>
          <w:sz w:val="24"/>
          <w:szCs w:val="24"/>
        </w:rPr>
        <w:t>4. Managing Divergent Interests</w:t>
      </w:r>
    </w:p>
    <w:p w14:paraId="00000010" w14:textId="77777777" w:rsidR="005353B3" w:rsidRPr="00082EAD" w:rsidRDefault="005353B3">
      <w:pPr>
        <w:jc w:val="both"/>
        <w:rPr>
          <w:rFonts w:ascii="Univers" w:eastAsia="Open Sans" w:hAnsi="Univers" w:cs="Open Sans"/>
          <w:sz w:val="20"/>
          <w:szCs w:val="20"/>
        </w:rPr>
      </w:pPr>
    </w:p>
    <w:p w14:paraId="00000011" w14:textId="77777777" w:rsidR="005353B3" w:rsidRPr="00082EAD" w:rsidRDefault="00000000">
      <w:pPr>
        <w:jc w:val="both"/>
        <w:rPr>
          <w:rFonts w:ascii="Univers" w:eastAsia="Open Sans" w:hAnsi="Univers" w:cs="Open Sans"/>
          <w:sz w:val="20"/>
          <w:szCs w:val="20"/>
        </w:rPr>
      </w:pPr>
      <w:r w:rsidRPr="00082EAD">
        <w:rPr>
          <w:rFonts w:ascii="Univers" w:eastAsia="Open Sans" w:hAnsi="Univers" w:cs="Open Sans"/>
          <w:sz w:val="20"/>
          <w:szCs w:val="20"/>
        </w:rPr>
        <w:t>Where stakeholders hold divergent or competing interests, coordination must preserve the Chamber's neutrality, ensuring no single stakeholder's preferences determine a program's direction inconsistent with its approved design.</w:t>
      </w:r>
    </w:p>
    <w:p w14:paraId="00000012" w14:textId="77777777" w:rsidR="005353B3" w:rsidRPr="00082EAD" w:rsidRDefault="005353B3">
      <w:pPr>
        <w:jc w:val="both"/>
        <w:rPr>
          <w:rFonts w:ascii="Univers" w:eastAsia="Open Sans" w:hAnsi="Univers" w:cs="Open Sans"/>
          <w:b/>
          <w:bCs/>
          <w:sz w:val="20"/>
          <w:szCs w:val="20"/>
        </w:rPr>
      </w:pPr>
    </w:p>
    <w:p w14:paraId="00000013" w14:textId="77777777" w:rsidR="005353B3" w:rsidRPr="00082EAD" w:rsidRDefault="00000000">
      <w:pPr>
        <w:jc w:val="both"/>
        <w:rPr>
          <w:rFonts w:ascii="Univers" w:eastAsia="Open Sans" w:hAnsi="Univers" w:cs="Open Sans"/>
          <w:b/>
          <w:bCs/>
          <w:sz w:val="24"/>
          <w:szCs w:val="24"/>
        </w:rPr>
      </w:pPr>
      <w:r w:rsidRPr="00082EAD">
        <w:rPr>
          <w:rFonts w:ascii="Univers" w:eastAsia="Open Sans" w:hAnsi="Univers" w:cs="Open Sans"/>
          <w:b/>
          <w:bCs/>
          <w:sz w:val="24"/>
          <w:szCs w:val="24"/>
        </w:rPr>
        <w:t>5. Institutional Significance</w:t>
      </w:r>
    </w:p>
    <w:p w14:paraId="00000014" w14:textId="77777777" w:rsidR="005353B3" w:rsidRPr="00082EAD" w:rsidRDefault="005353B3">
      <w:pPr>
        <w:jc w:val="both"/>
        <w:rPr>
          <w:rFonts w:ascii="Univers" w:eastAsia="Open Sans" w:hAnsi="Univers" w:cs="Open Sans"/>
          <w:sz w:val="20"/>
          <w:szCs w:val="20"/>
        </w:rPr>
      </w:pPr>
    </w:p>
    <w:p w14:paraId="00000015" w14:textId="77777777" w:rsidR="005353B3" w:rsidRPr="00082EAD" w:rsidRDefault="00000000">
      <w:pPr>
        <w:jc w:val="both"/>
        <w:rPr>
          <w:rFonts w:ascii="Univers" w:eastAsia="Open Sans" w:hAnsi="Univers" w:cs="Open Sans"/>
          <w:sz w:val="20"/>
          <w:szCs w:val="20"/>
        </w:rPr>
      </w:pPr>
      <w:r w:rsidRPr="00082EAD">
        <w:rPr>
          <w:rFonts w:ascii="Univers" w:eastAsia="Open Sans" w:hAnsi="Univers" w:cs="Open Sans"/>
          <w:sz w:val="20"/>
          <w:szCs w:val="20"/>
        </w:rPr>
        <w:t>Consistent stakeholder coordination protects program integrity and reinforces the Chamber's credibility as an institution capable of managing complex, multi-party international initiatives responsibly.</w:t>
      </w:r>
    </w:p>
    <w:p w14:paraId="00000018" w14:textId="77777777" w:rsidR="005353B3" w:rsidRPr="00082EAD" w:rsidRDefault="005353B3">
      <w:pPr>
        <w:rPr>
          <w:rFonts w:ascii="Univers" w:eastAsia="Open Sans" w:hAnsi="Univers" w:cs="Open Sans"/>
          <w:sz w:val="20"/>
          <w:szCs w:val="20"/>
        </w:rPr>
      </w:pPr>
    </w:p>
    <w:sectPr w:rsidR="005353B3" w:rsidRPr="00082EA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BE240BD-1446-4514-A5BD-61EA1053C35E}"/>
    <w:embedItalic r:id="rId2" w:fontKey="{29AE4084-A7D7-42F8-9AA0-6CC0FC68FC90}"/>
  </w:font>
  <w:font w:name="Play">
    <w:charset w:val="00"/>
    <w:family w:val="auto"/>
    <w:pitch w:val="default"/>
    <w:embedRegular r:id="rId3" w:fontKey="{D774CAB1-8C0A-440A-A984-3A0A4C7357E1}"/>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F04E2D9C-C6FD-4326-9ABE-0FF9C86974A6}"/>
    <w:embedBold r:id="rId5" w:fontKey="{326FF33E-8B37-42EC-8C0D-72AE089E7A06}"/>
  </w:font>
  <w:font w:name="Open Sans">
    <w:charset w:val="00"/>
    <w:family w:val="swiss"/>
    <w:pitch w:val="variable"/>
    <w:sig w:usb0="E00002EF" w:usb1="4000205B" w:usb2="00000028" w:usb3="00000000" w:csb0="0000019F" w:csb1="00000000"/>
    <w:embedRegular r:id="rId6" w:fontKey="{F0DA2158-EAB5-4C4F-B781-162E1D2C0DA4}"/>
    <w:embedBold r:id="rId7" w:fontKey="{27C022FE-10AD-40BF-9EA4-6FFF1F12C868}"/>
  </w:font>
  <w:font w:name="Calibri">
    <w:panose1 w:val="020F0502020204030204"/>
    <w:charset w:val="00"/>
    <w:family w:val="swiss"/>
    <w:pitch w:val="variable"/>
    <w:sig w:usb0="E4002EFF" w:usb1="C200247B" w:usb2="00000009" w:usb3="00000000" w:csb0="000001FF" w:csb1="00000000"/>
    <w:embedRegular r:id="rId8" w:fontKey="{643351AD-C215-4182-BD72-3F617D6B5540}"/>
  </w:font>
  <w:font w:name="Cambria">
    <w:panose1 w:val="02040503050406030204"/>
    <w:charset w:val="00"/>
    <w:family w:val="roman"/>
    <w:pitch w:val="variable"/>
    <w:sig w:usb0="E00006FF" w:usb1="420024FF" w:usb2="02000000" w:usb3="00000000" w:csb0="0000019F" w:csb1="00000000"/>
    <w:embedRegular r:id="rId9" w:fontKey="{63361855-CE91-4164-9917-CE000464BF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B3"/>
    <w:rsid w:val="00082EAD"/>
    <w:rsid w:val="005353B3"/>
    <w:rsid w:val="008E1B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672F"/>
  <w15:docId w15:val="{EEF30F4E-D17A-480B-AAA7-A63BC972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yrV4upnCK111xOnTVK6gBGtKA==">CgMxLjA4AHIhMURQa19oT2hLSllTOHRnRlQ4Ri1nRFBzdDl4QXNudEVG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1249</Characters>
  <Application>Microsoft Office Word</Application>
  <DocSecurity>0</DocSecurity>
  <Lines>10</Lines>
  <Paragraphs>2</Paragraphs>
  <ScaleCrop>false</ScaleCrop>
  <Company>Department of Education</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2026-07-23T09:23:00Z</dcterms:created>
  <dcterms:modified xsi:type="dcterms:W3CDTF">2026-07-23T09:23:00Z</dcterms:modified>
</cp:coreProperties>
</file>