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5079" w:rsidRPr="009B5E99" w:rsidRDefault="00000000">
      <w:pPr>
        <w:spacing w:line="240" w:lineRule="auto"/>
        <w:jc w:val="center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PUBLIC</w:t>
      </w:r>
      <w:r w:rsidRPr="009B5E99">
        <w:rPr>
          <w:rFonts w:ascii="Cambria Math" w:eastAsia="Open Sans" w:hAnsi="Cambria Math" w:cs="Cambria Math"/>
          <w:b/>
          <w:bCs/>
          <w:sz w:val="24"/>
          <w:szCs w:val="24"/>
        </w:rPr>
        <w:t>‑</w:t>
      </w:r>
      <w:r w:rsidRPr="009B5E99">
        <w:rPr>
          <w:rFonts w:ascii="Univers" w:eastAsia="Open Sans" w:hAnsi="Univers" w:cs="Open Sans"/>
          <w:b/>
          <w:bCs/>
          <w:sz w:val="24"/>
          <w:szCs w:val="24"/>
        </w:rPr>
        <w:t>SECTOR MEETING &amp; CONSULTATION PROCEDURES</w:t>
      </w:r>
    </w:p>
    <w:p w14:paraId="00000002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3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1. Purpose and Scope</w:t>
      </w:r>
    </w:p>
    <w:p w14:paraId="00000004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5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>This document sets out how the World Economic Chamber prepares for and conducts meetings and consultations with public-sector counterparts, including government bodies, regulators and public agencies. It applies to all direct engagement of this kind, whether initiated by the public-sector counterpart or by the Chamber.</w:t>
      </w:r>
    </w:p>
    <w:p w14:paraId="00000006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7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2. Rationale</w:t>
      </w:r>
    </w:p>
    <w:p w14:paraId="00000008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9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 xml:space="preserve">Meetings and consultations with public-sector bodies carry </w:t>
      </w:r>
      <w:proofErr w:type="gramStart"/>
      <w:r w:rsidRPr="009B5E99">
        <w:rPr>
          <w:rFonts w:ascii="Univers" w:eastAsia="Open Sans" w:hAnsi="Univers" w:cs="Open Sans"/>
          <w:sz w:val="20"/>
          <w:szCs w:val="20"/>
        </w:rPr>
        <w:t>particular institutional</w:t>
      </w:r>
      <w:proofErr w:type="gramEnd"/>
      <w:r w:rsidRPr="009B5E99">
        <w:rPr>
          <w:rFonts w:ascii="Univers" w:eastAsia="Open Sans" w:hAnsi="Univers" w:cs="Open Sans"/>
          <w:sz w:val="20"/>
          <w:szCs w:val="20"/>
        </w:rPr>
        <w:t xml:space="preserve"> exposure, given the authority such bodies </w:t>
      </w:r>
      <w:proofErr w:type="gramStart"/>
      <w:r w:rsidRPr="009B5E99">
        <w:rPr>
          <w:rFonts w:ascii="Univers" w:eastAsia="Open Sans" w:hAnsi="Univers" w:cs="Open Sans"/>
          <w:sz w:val="20"/>
          <w:szCs w:val="20"/>
        </w:rPr>
        <w:t>hold</w:t>
      </w:r>
      <w:proofErr w:type="gramEnd"/>
      <w:r w:rsidRPr="009B5E99">
        <w:rPr>
          <w:rFonts w:ascii="Univers" w:eastAsia="Open Sans" w:hAnsi="Univers" w:cs="Open Sans"/>
          <w:sz w:val="20"/>
          <w:szCs w:val="20"/>
        </w:rPr>
        <w:t xml:space="preserve"> and the weight attached to positions communicated in these settings. These procedures exist to ensure that such engagement is approached with disciplined preparation rather than informality.</w:t>
      </w:r>
    </w:p>
    <w:p w14:paraId="0000000A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B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3. Preparation Requirements</w:t>
      </w:r>
    </w:p>
    <w:p w14:paraId="0000000C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D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 xml:space="preserve">Prior to a public-sector meeting or consultation, the Chamber representatives involved must establish the purpose of the engagement, the position to be conveyed, and the individuals </w:t>
      </w:r>
      <w:proofErr w:type="spellStart"/>
      <w:r w:rsidRPr="009B5E99">
        <w:rPr>
          <w:rFonts w:ascii="Univers" w:eastAsia="Open Sans" w:hAnsi="Univers" w:cs="Open Sans"/>
          <w:sz w:val="20"/>
          <w:szCs w:val="20"/>
        </w:rPr>
        <w:t>authorised</w:t>
      </w:r>
      <w:proofErr w:type="spellEnd"/>
      <w:r w:rsidRPr="009B5E99">
        <w:rPr>
          <w:rFonts w:ascii="Univers" w:eastAsia="Open Sans" w:hAnsi="Univers" w:cs="Open Sans"/>
          <w:sz w:val="20"/>
          <w:szCs w:val="20"/>
        </w:rPr>
        <w:t xml:space="preserve"> to speak on the Chamber's behalf, consistent with the Regulatory Meeting and Submission Protocols. Where multiple representatives attend, roles must be agreed in advance to avoid inconsistent statements.</w:t>
      </w:r>
    </w:p>
    <w:p w14:paraId="0000000E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F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4. Conduct of Engagement</w:t>
      </w:r>
    </w:p>
    <w:p w14:paraId="00000010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1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>Engagement must be conducted with clarity regarding the Chamber's institutional capacity, and with due regard to the conventions and expectations of the public-sector counterpart concerned, consistent with the Cross-Border Engagement Standards where the counterpart operates in a different jurisdiction.</w:t>
      </w:r>
    </w:p>
    <w:p w14:paraId="00000012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3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5. Records of Engagement</w:t>
      </w:r>
    </w:p>
    <w:p w14:paraId="00000014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5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>A written record of each meeting or consultation, including matters discussed and any commitments made, must be prepared promptly following the engagement, consistent with the Record-Keeping &amp; Documentation Standards.</w:t>
      </w:r>
    </w:p>
    <w:p w14:paraId="00000016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7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 xml:space="preserve">6. </w:t>
      </w:r>
      <w:proofErr w:type="spellStart"/>
      <w:r w:rsidRPr="009B5E99">
        <w:rPr>
          <w:rFonts w:ascii="Univers" w:eastAsia="Open Sans" w:hAnsi="Univers" w:cs="Open Sans"/>
          <w:b/>
          <w:bCs/>
          <w:sz w:val="24"/>
          <w:szCs w:val="24"/>
        </w:rPr>
        <w:t>Authorisation</w:t>
      </w:r>
      <w:proofErr w:type="spellEnd"/>
      <w:r w:rsidRPr="009B5E99">
        <w:rPr>
          <w:rFonts w:ascii="Univers" w:eastAsia="Open Sans" w:hAnsi="Univers" w:cs="Open Sans"/>
          <w:b/>
          <w:bCs/>
          <w:sz w:val="24"/>
          <w:szCs w:val="24"/>
        </w:rPr>
        <w:t xml:space="preserve"> Limits</w:t>
      </w:r>
    </w:p>
    <w:p w14:paraId="00000018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9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 xml:space="preserve">No representative may commit the Chamber to a position exceeding their </w:t>
      </w:r>
      <w:proofErr w:type="spellStart"/>
      <w:r w:rsidRPr="009B5E99">
        <w:rPr>
          <w:rFonts w:ascii="Univers" w:eastAsia="Open Sans" w:hAnsi="Univers" w:cs="Open Sans"/>
          <w:sz w:val="20"/>
          <w:szCs w:val="20"/>
        </w:rPr>
        <w:t>authorised</w:t>
      </w:r>
      <w:proofErr w:type="spellEnd"/>
      <w:r w:rsidRPr="009B5E99">
        <w:rPr>
          <w:rFonts w:ascii="Univers" w:eastAsia="Open Sans" w:hAnsi="Univers" w:cs="Open Sans"/>
          <w:sz w:val="20"/>
          <w:szCs w:val="20"/>
        </w:rPr>
        <w:t xml:space="preserve"> scope. Matters raised that exceed the authority of those present must be taken on notice and addressed through the appropriate internal process before a Chamber position is communicated.</w:t>
      </w:r>
    </w:p>
    <w:p w14:paraId="0000001A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B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7. Follow-Up and Reporting</w:t>
      </w:r>
    </w:p>
    <w:p w14:paraId="0000001C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D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t>Any follow-up action arising from a public-sector meeting or consultation must be tracked to completion, with material matters reported to Executive Leadership.</w:t>
      </w:r>
    </w:p>
    <w:p w14:paraId="0000001E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F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9B5E99">
        <w:rPr>
          <w:rFonts w:ascii="Univers" w:eastAsia="Open Sans" w:hAnsi="Univers" w:cs="Open Sans"/>
          <w:b/>
          <w:bCs/>
          <w:sz w:val="24"/>
          <w:szCs w:val="24"/>
        </w:rPr>
        <w:t>8. Alignment with Governance Framework</w:t>
      </w:r>
    </w:p>
    <w:p w14:paraId="00000020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21" w14:textId="77777777" w:rsidR="00C05079" w:rsidRPr="009B5E99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9B5E99">
        <w:rPr>
          <w:rFonts w:ascii="Univers" w:eastAsia="Open Sans" w:hAnsi="Univers" w:cs="Open Sans"/>
          <w:sz w:val="20"/>
          <w:szCs w:val="20"/>
        </w:rPr>
        <w:lastRenderedPageBreak/>
        <w:t xml:space="preserve">These procedures ensure that the Chamber's most direct public-sector interactions are conducted with </w:t>
      </w:r>
      <w:proofErr w:type="gramStart"/>
      <w:r w:rsidRPr="009B5E99">
        <w:rPr>
          <w:rFonts w:ascii="Univers" w:eastAsia="Open Sans" w:hAnsi="Univers" w:cs="Open Sans"/>
          <w:sz w:val="20"/>
          <w:szCs w:val="20"/>
        </w:rPr>
        <w:t xml:space="preserve">the </w:t>
      </w:r>
      <w:proofErr w:type="spellStart"/>
      <w:r w:rsidRPr="009B5E99">
        <w:rPr>
          <w:rFonts w:ascii="Univers" w:eastAsia="Open Sans" w:hAnsi="Univers" w:cs="Open Sans"/>
          <w:sz w:val="20"/>
          <w:szCs w:val="20"/>
        </w:rPr>
        <w:t>rigour</w:t>
      </w:r>
      <w:proofErr w:type="spellEnd"/>
      <w:proofErr w:type="gramEnd"/>
      <w:r w:rsidRPr="009B5E99">
        <w:rPr>
          <w:rFonts w:ascii="Univers" w:eastAsia="Open Sans" w:hAnsi="Univers" w:cs="Open Sans"/>
          <w:sz w:val="20"/>
          <w:szCs w:val="20"/>
        </w:rPr>
        <w:t xml:space="preserve"> and accountability appropriate to their institutional significance.</w:t>
      </w:r>
    </w:p>
    <w:p w14:paraId="00000022" w14:textId="77777777" w:rsidR="00C05079" w:rsidRPr="009B5E99" w:rsidRDefault="00C05079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sectPr w:rsidR="00C05079" w:rsidRPr="009B5E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C0A92029-BB1C-430F-A0EA-79A5E0881F8E}"/>
    <w:embedBold r:id="rId2" w:fontKey="{46CC3D14-11F6-483A-97DE-DD0EE7658316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629AAB2B-2CD2-46DB-B2D2-34A7D35DE725}"/>
    <w:embedBold r:id="rId4" w:fontKey="{49F861A2-C920-4338-8D5D-408F5740B1C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4382D8DF-2BDA-499A-9566-F97B3F6E42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D6ECFEE-D449-4B4C-B81F-DDBA95009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C024396-DEF2-4362-AE2B-D3C9413E69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079"/>
    <w:rsid w:val="008F2796"/>
    <w:rsid w:val="009B5E99"/>
    <w:rsid w:val="00C0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82F71B-AAAD-4B0C-BE23-D3228CD3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2075</Characters>
  <Application>Microsoft Office Word</Application>
  <DocSecurity>0</DocSecurity>
  <Lines>17</Lines>
  <Paragraphs>4</Paragraphs>
  <ScaleCrop>false</ScaleCrop>
  <Company>Department of Education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 Mari B. Oliva</cp:lastModifiedBy>
  <cp:revision>2</cp:revision>
  <dcterms:created xsi:type="dcterms:W3CDTF">2026-07-23T09:29:00Z</dcterms:created>
  <dcterms:modified xsi:type="dcterms:W3CDTF">2026-07-23T09:30:00Z</dcterms:modified>
</cp:coreProperties>
</file>