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5E48" w:rsidRPr="00F66BAE" w:rsidRDefault="00000000">
      <w:pPr>
        <w:spacing w:line="240" w:lineRule="auto"/>
        <w:jc w:val="center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DOCUMENTATION, REPORTING &amp; RECORD</w:t>
      </w:r>
      <w:r w:rsidRPr="00F66BAE">
        <w:rPr>
          <w:rFonts w:ascii="Cambria Math" w:eastAsia="Open Sans" w:hAnsi="Cambria Math" w:cs="Cambria Math"/>
          <w:b/>
          <w:bCs/>
          <w:sz w:val="24"/>
          <w:szCs w:val="24"/>
        </w:rPr>
        <w:t>‑</w:t>
      </w:r>
      <w:r w:rsidRPr="00F66BAE">
        <w:rPr>
          <w:rFonts w:ascii="Univers" w:eastAsia="Open Sans" w:hAnsi="Univers" w:cs="Open Sans"/>
          <w:b/>
          <w:bCs/>
          <w:sz w:val="24"/>
          <w:szCs w:val="24"/>
        </w:rPr>
        <w:t>KEEPING REQUIREMENTS</w:t>
      </w:r>
    </w:p>
    <w:p w14:paraId="00000002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3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1. Purpose and Scope</w:t>
      </w:r>
    </w:p>
    <w:p w14:paraId="00000004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5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>This document sets out the standards governing documentation, reporting and record-keeping connected to the Chamber's public-institution engagement, including its government, regulatory and cross-border liaison activity. It ensures that this category of institutional activity, given its sensitivity, is supported by a consistently disciplined record.</w:t>
      </w:r>
    </w:p>
    <w:p w14:paraId="00000006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7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2. Documentation Principles</w:t>
      </w:r>
    </w:p>
    <w:p w14:paraId="00000008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9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>Documentation connected to public-institution engagement must satisfy accuracy, completeness and retrievability, consistent with the Record-Keeping &amp; Documentation Standards applied across the Chamber's broader governance framework, reflecting the heightened institutional sensitivity of this category of activity.</w:t>
      </w:r>
    </w:p>
    <w:p w14:paraId="0000000A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B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3. Scope of Records</w:t>
      </w:r>
    </w:p>
    <w:p w14:paraId="0000000C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D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 xml:space="preserve">Records subject to this requirement include correspondence with public institutions, meeting and consultation records, liaison activity logs, and any commitments or positions communicated to a government or regulatory counterpart, together with supporting internal review and </w:t>
      </w:r>
      <w:proofErr w:type="spellStart"/>
      <w:r w:rsidRPr="00F66BAE">
        <w:rPr>
          <w:rFonts w:ascii="Univers" w:eastAsia="Open Sans" w:hAnsi="Univers" w:cs="Open Sans"/>
          <w:sz w:val="20"/>
          <w:szCs w:val="20"/>
        </w:rPr>
        <w:t>authorisation</w:t>
      </w:r>
      <w:proofErr w:type="spellEnd"/>
      <w:r w:rsidRPr="00F66BAE">
        <w:rPr>
          <w:rFonts w:ascii="Univers" w:eastAsia="Open Sans" w:hAnsi="Univers" w:cs="Open Sans"/>
          <w:sz w:val="20"/>
          <w:szCs w:val="20"/>
        </w:rPr>
        <w:t xml:space="preserve"> documentation.</w:t>
      </w:r>
    </w:p>
    <w:p w14:paraId="0000000E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F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4. Reporting Obligations</w:t>
      </w:r>
    </w:p>
    <w:p w14:paraId="00000010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1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>Material developments arising from public-institution engagement must be reported to Executive Leadership according to defined reporting cycles, with matters affecting institutional neutrality or cross-jurisdictional consistency reported without delay, consistent with established escalation thresholds.</w:t>
      </w:r>
    </w:p>
    <w:p w14:paraId="00000012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3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5. Retention and Access</w:t>
      </w:r>
    </w:p>
    <w:p w14:paraId="00000014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5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>Records connected to public-institution engagement must be retained for periods appropriate to their institutional significance, with access restricted to those with legitimate need, reflecting the sensitivity often attached to government and regulatory relationships.</w:t>
      </w:r>
    </w:p>
    <w:p w14:paraId="00000016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7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6. Oversight Review</w:t>
      </w:r>
    </w:p>
    <w:p w14:paraId="00000018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9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>These documentation and reporting practices are subject to periodic review by Oversight &amp; Compliance Functions, consistent with the Oversight Responsibilities &amp; Accountability Standards, with deficiencies addressed through documented corrective action.</w:t>
      </w:r>
    </w:p>
    <w:p w14:paraId="0000001A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B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F66BAE">
        <w:rPr>
          <w:rFonts w:ascii="Univers" w:eastAsia="Open Sans" w:hAnsi="Univers" w:cs="Open Sans"/>
          <w:b/>
          <w:bCs/>
          <w:sz w:val="24"/>
          <w:szCs w:val="24"/>
        </w:rPr>
        <w:t>7. Alignment with Governance Framework</w:t>
      </w:r>
    </w:p>
    <w:p w14:paraId="0000001C" w14:textId="77777777" w:rsidR="00775E48" w:rsidRPr="00F66BAE" w:rsidRDefault="00775E48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D" w14:textId="77777777" w:rsidR="00775E48" w:rsidRPr="00F66BAE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F66BAE">
        <w:rPr>
          <w:rFonts w:ascii="Univers" w:eastAsia="Open Sans" w:hAnsi="Univers" w:cs="Open Sans"/>
          <w:sz w:val="20"/>
          <w:szCs w:val="20"/>
        </w:rPr>
        <w:t xml:space="preserve">These requirements ensure that the Chamber's public-institution engagement, an area of </w:t>
      </w:r>
      <w:proofErr w:type="gramStart"/>
      <w:r w:rsidRPr="00F66BAE">
        <w:rPr>
          <w:rFonts w:ascii="Univers" w:eastAsia="Open Sans" w:hAnsi="Univers" w:cs="Open Sans"/>
          <w:sz w:val="20"/>
          <w:szCs w:val="20"/>
        </w:rPr>
        <w:t>particular reputational</w:t>
      </w:r>
      <w:proofErr w:type="gramEnd"/>
      <w:r w:rsidRPr="00F66BAE">
        <w:rPr>
          <w:rFonts w:ascii="Univers" w:eastAsia="Open Sans" w:hAnsi="Univers" w:cs="Open Sans"/>
          <w:sz w:val="20"/>
          <w:szCs w:val="20"/>
        </w:rPr>
        <w:t xml:space="preserve"> and regulatory sensitivity, is supported by a complete, accurate and auditable institutional record </w:t>
      </w:r>
      <w:proofErr w:type="gramStart"/>
      <w:r w:rsidRPr="00F66BAE">
        <w:rPr>
          <w:rFonts w:ascii="Univers" w:eastAsia="Open Sans" w:hAnsi="Univers" w:cs="Open Sans"/>
          <w:sz w:val="20"/>
          <w:szCs w:val="20"/>
        </w:rPr>
        <w:t>at all times</w:t>
      </w:r>
      <w:proofErr w:type="gramEnd"/>
      <w:r w:rsidRPr="00F66BAE">
        <w:rPr>
          <w:rFonts w:ascii="Univers" w:eastAsia="Open Sans" w:hAnsi="Univers" w:cs="Open Sans"/>
          <w:sz w:val="20"/>
          <w:szCs w:val="20"/>
        </w:rPr>
        <w:t>.</w:t>
      </w:r>
    </w:p>
    <w:sectPr w:rsidR="00775E48" w:rsidRPr="00F66B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35333112-9AFC-4F54-B1AB-76CD9BB8DECA}"/>
    <w:embedBold r:id="rId2" w:fontKey="{A6A30077-1BAB-4D2D-AAEE-9100AF879C4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DB4BAC40-6DBB-4A22-AE3D-5E8A3F1D2F07}"/>
    <w:embedBold r:id="rId4" w:fontKey="{149D19FC-CC33-4753-B368-0A18B45D9A0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03C902F6-CF44-419C-8FB3-C8A8688590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A96F290-AE70-4804-8C63-9049AD3A93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CC18A3-79E6-4A14-B9B1-423569CBEB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E48"/>
    <w:rsid w:val="00070F3B"/>
    <w:rsid w:val="00775E48"/>
    <w:rsid w:val="00F6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1CF34C-CF2C-4ED3-B3BD-D9D40522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1931</Characters>
  <Application>Microsoft Office Word</Application>
  <DocSecurity>0</DocSecurity>
  <Lines>16</Lines>
  <Paragraphs>4</Paragraphs>
  <ScaleCrop>false</ScaleCrop>
  <Company>Department of Education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 Mari B. Oliva</cp:lastModifiedBy>
  <cp:revision>2</cp:revision>
  <dcterms:created xsi:type="dcterms:W3CDTF">2026-07-23T09:30:00Z</dcterms:created>
  <dcterms:modified xsi:type="dcterms:W3CDTF">2026-07-23T09:30:00Z</dcterms:modified>
</cp:coreProperties>
</file>