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17BCA" w:rsidRPr="00320EA7" w:rsidRDefault="00000000">
      <w:pPr>
        <w:spacing w:line="240" w:lineRule="auto"/>
        <w:jc w:val="center"/>
        <w:rPr>
          <w:rFonts w:ascii="Univers" w:eastAsia="Open Sans" w:hAnsi="Univers" w:cs="Open Sans"/>
          <w:b/>
          <w:bCs/>
          <w:sz w:val="24"/>
          <w:szCs w:val="24"/>
        </w:rPr>
      </w:pPr>
      <w:r w:rsidRPr="00320EA7">
        <w:rPr>
          <w:rFonts w:ascii="Univers" w:eastAsia="Open Sans" w:hAnsi="Univers" w:cs="Open Sans"/>
          <w:b/>
          <w:bCs/>
          <w:sz w:val="24"/>
          <w:szCs w:val="24"/>
        </w:rPr>
        <w:t>INSTITUTIONAL NEUTRALITY &amp; INFLUENCE</w:t>
      </w:r>
      <w:r w:rsidRPr="00320EA7">
        <w:rPr>
          <w:rFonts w:ascii="Cambria Math" w:eastAsia="Cambria Math" w:hAnsi="Cambria Math" w:cs="Cambria Math"/>
          <w:b/>
          <w:bCs/>
          <w:sz w:val="24"/>
          <w:szCs w:val="24"/>
        </w:rPr>
        <w:t>‑</w:t>
      </w:r>
      <w:r w:rsidRPr="00320EA7">
        <w:rPr>
          <w:rFonts w:ascii="Univers" w:eastAsia="Open Sans" w:hAnsi="Univers" w:cs="Open Sans"/>
          <w:b/>
          <w:bCs/>
          <w:sz w:val="24"/>
          <w:szCs w:val="24"/>
        </w:rPr>
        <w:t>SAFEGUARD POLICY</w:t>
      </w:r>
    </w:p>
    <w:p w14:paraId="00000002" w14:textId="77777777" w:rsidR="00E17BCA" w:rsidRPr="00320EA7" w:rsidRDefault="00E17BCA">
      <w:pPr>
        <w:spacing w:line="240" w:lineRule="auto"/>
        <w:jc w:val="both"/>
        <w:rPr>
          <w:rFonts w:ascii="Univers" w:eastAsia="Open Sans" w:hAnsi="Univers" w:cs="Open Sans"/>
          <w:sz w:val="20"/>
          <w:szCs w:val="20"/>
        </w:rPr>
      </w:pPr>
    </w:p>
    <w:p w14:paraId="00000003" w14:textId="77777777" w:rsidR="00E17BCA" w:rsidRPr="00320EA7" w:rsidRDefault="00000000">
      <w:pPr>
        <w:spacing w:line="240" w:lineRule="auto"/>
        <w:jc w:val="both"/>
        <w:rPr>
          <w:rFonts w:ascii="Univers" w:eastAsia="Open Sans" w:hAnsi="Univers" w:cs="Open Sans"/>
          <w:b/>
          <w:bCs/>
          <w:sz w:val="24"/>
          <w:szCs w:val="24"/>
        </w:rPr>
      </w:pPr>
      <w:r w:rsidRPr="00320EA7">
        <w:rPr>
          <w:rFonts w:ascii="Univers" w:eastAsia="Open Sans" w:hAnsi="Univers" w:cs="Open Sans"/>
          <w:b/>
          <w:bCs/>
          <w:sz w:val="24"/>
          <w:szCs w:val="24"/>
        </w:rPr>
        <w:t>1. Purpose and Scope</w:t>
      </w:r>
    </w:p>
    <w:p w14:paraId="00000004" w14:textId="77777777" w:rsidR="00E17BCA" w:rsidRPr="00320EA7" w:rsidRDefault="00E17BCA">
      <w:pPr>
        <w:spacing w:line="240" w:lineRule="auto"/>
        <w:jc w:val="both"/>
        <w:rPr>
          <w:rFonts w:ascii="Univers" w:eastAsia="Open Sans" w:hAnsi="Univers" w:cs="Open Sans"/>
          <w:sz w:val="20"/>
          <w:szCs w:val="20"/>
        </w:rPr>
      </w:pPr>
    </w:p>
    <w:p w14:paraId="00000005" w14:textId="77777777" w:rsidR="00E17BCA" w:rsidRPr="00320EA7" w:rsidRDefault="00000000">
      <w:pPr>
        <w:spacing w:line="240" w:lineRule="auto"/>
        <w:jc w:val="both"/>
        <w:rPr>
          <w:rFonts w:ascii="Univers" w:eastAsia="Open Sans" w:hAnsi="Univers" w:cs="Open Sans"/>
          <w:sz w:val="20"/>
          <w:szCs w:val="20"/>
        </w:rPr>
      </w:pPr>
      <w:r w:rsidRPr="00320EA7">
        <w:rPr>
          <w:rFonts w:ascii="Univers" w:eastAsia="Open Sans" w:hAnsi="Univers" w:cs="Open Sans"/>
          <w:sz w:val="20"/>
          <w:szCs w:val="20"/>
        </w:rPr>
        <w:t xml:space="preserve">This policy sets out the specific safeguards that protect the World Economic Chamber's neutrality in the context of its engagement with public institutions, extending the general principles of the Institutional Independence &amp; Neutrality Policy to the </w:t>
      </w:r>
      <w:proofErr w:type="gramStart"/>
      <w:r w:rsidRPr="00320EA7">
        <w:rPr>
          <w:rFonts w:ascii="Univers" w:eastAsia="Open Sans" w:hAnsi="Univers" w:cs="Open Sans"/>
          <w:sz w:val="20"/>
          <w:szCs w:val="20"/>
        </w:rPr>
        <w:t>particular risks</w:t>
      </w:r>
      <w:proofErr w:type="gramEnd"/>
      <w:r w:rsidRPr="00320EA7">
        <w:rPr>
          <w:rFonts w:ascii="Univers" w:eastAsia="Open Sans" w:hAnsi="Univers" w:cs="Open Sans"/>
          <w:sz w:val="20"/>
          <w:szCs w:val="20"/>
        </w:rPr>
        <w:t xml:space="preserve"> that arise from government and regulatory relationships.</w:t>
      </w:r>
    </w:p>
    <w:p w14:paraId="00000006" w14:textId="77777777" w:rsidR="00E17BCA" w:rsidRPr="00320EA7" w:rsidRDefault="00E17BCA">
      <w:pPr>
        <w:spacing w:line="240" w:lineRule="auto"/>
        <w:jc w:val="both"/>
        <w:rPr>
          <w:rFonts w:ascii="Univers" w:eastAsia="Open Sans" w:hAnsi="Univers" w:cs="Open Sans"/>
          <w:b/>
          <w:bCs/>
          <w:sz w:val="20"/>
          <w:szCs w:val="20"/>
        </w:rPr>
      </w:pPr>
    </w:p>
    <w:p w14:paraId="00000007" w14:textId="77777777" w:rsidR="00E17BCA" w:rsidRPr="00320EA7" w:rsidRDefault="00000000">
      <w:pPr>
        <w:spacing w:line="240" w:lineRule="auto"/>
        <w:jc w:val="both"/>
        <w:rPr>
          <w:rFonts w:ascii="Univers" w:eastAsia="Open Sans" w:hAnsi="Univers" w:cs="Open Sans"/>
          <w:b/>
          <w:bCs/>
          <w:sz w:val="24"/>
          <w:szCs w:val="24"/>
        </w:rPr>
      </w:pPr>
      <w:r w:rsidRPr="00320EA7">
        <w:rPr>
          <w:rFonts w:ascii="Univers" w:eastAsia="Open Sans" w:hAnsi="Univers" w:cs="Open Sans"/>
          <w:b/>
          <w:bCs/>
          <w:sz w:val="24"/>
          <w:szCs w:val="24"/>
        </w:rPr>
        <w:t>2. Rationale</w:t>
      </w:r>
    </w:p>
    <w:p w14:paraId="00000008" w14:textId="77777777" w:rsidR="00E17BCA" w:rsidRPr="00320EA7" w:rsidRDefault="00E17BCA">
      <w:pPr>
        <w:spacing w:line="240" w:lineRule="auto"/>
        <w:jc w:val="both"/>
        <w:rPr>
          <w:rFonts w:ascii="Univers" w:eastAsia="Open Sans" w:hAnsi="Univers" w:cs="Open Sans"/>
          <w:sz w:val="20"/>
          <w:szCs w:val="20"/>
        </w:rPr>
      </w:pPr>
    </w:p>
    <w:p w14:paraId="00000009" w14:textId="77777777" w:rsidR="00E17BCA" w:rsidRPr="00320EA7" w:rsidRDefault="00000000">
      <w:pPr>
        <w:spacing w:line="240" w:lineRule="auto"/>
        <w:jc w:val="both"/>
        <w:rPr>
          <w:rFonts w:ascii="Univers" w:eastAsia="Open Sans" w:hAnsi="Univers" w:cs="Open Sans"/>
          <w:sz w:val="20"/>
          <w:szCs w:val="20"/>
        </w:rPr>
      </w:pPr>
      <w:r w:rsidRPr="00320EA7">
        <w:rPr>
          <w:rFonts w:ascii="Univers" w:eastAsia="Open Sans" w:hAnsi="Univers" w:cs="Open Sans"/>
          <w:sz w:val="20"/>
          <w:szCs w:val="20"/>
        </w:rPr>
        <w:t xml:space="preserve">Engagement with public institutions carries a distinct influence risk: the possibility that sustained proximity to a particular government or regulator could shape, or appear to shape, the Chamber's institutional positions. This policy exists to manage that risk directly, given its </w:t>
      </w:r>
      <w:proofErr w:type="gramStart"/>
      <w:r w:rsidRPr="00320EA7">
        <w:rPr>
          <w:rFonts w:ascii="Univers" w:eastAsia="Open Sans" w:hAnsi="Univers" w:cs="Open Sans"/>
          <w:sz w:val="20"/>
          <w:szCs w:val="20"/>
        </w:rPr>
        <w:t>particular relevance</w:t>
      </w:r>
      <w:proofErr w:type="gramEnd"/>
      <w:r w:rsidRPr="00320EA7">
        <w:rPr>
          <w:rFonts w:ascii="Univers" w:eastAsia="Open Sans" w:hAnsi="Univers" w:cs="Open Sans"/>
          <w:sz w:val="20"/>
          <w:szCs w:val="20"/>
        </w:rPr>
        <w:t xml:space="preserve"> to public-sector engagement.</w:t>
      </w:r>
    </w:p>
    <w:p w14:paraId="0000000A" w14:textId="77777777" w:rsidR="00E17BCA" w:rsidRPr="00320EA7" w:rsidRDefault="00E17BCA">
      <w:pPr>
        <w:spacing w:line="240" w:lineRule="auto"/>
        <w:jc w:val="both"/>
        <w:rPr>
          <w:rFonts w:ascii="Univers" w:eastAsia="Open Sans" w:hAnsi="Univers" w:cs="Open Sans"/>
          <w:sz w:val="20"/>
          <w:szCs w:val="20"/>
        </w:rPr>
      </w:pPr>
    </w:p>
    <w:p w14:paraId="0000000B" w14:textId="77777777" w:rsidR="00E17BCA" w:rsidRPr="00320EA7" w:rsidRDefault="00000000">
      <w:pPr>
        <w:spacing w:line="240" w:lineRule="auto"/>
        <w:jc w:val="both"/>
        <w:rPr>
          <w:rFonts w:ascii="Univers" w:eastAsia="Open Sans" w:hAnsi="Univers" w:cs="Open Sans"/>
          <w:b/>
          <w:bCs/>
          <w:sz w:val="24"/>
          <w:szCs w:val="24"/>
        </w:rPr>
      </w:pPr>
      <w:r w:rsidRPr="00320EA7">
        <w:rPr>
          <w:rFonts w:ascii="Univers" w:eastAsia="Open Sans" w:hAnsi="Univers" w:cs="Open Sans"/>
          <w:b/>
          <w:bCs/>
          <w:sz w:val="24"/>
          <w:szCs w:val="24"/>
        </w:rPr>
        <w:t>3. Identified Risks</w:t>
      </w:r>
    </w:p>
    <w:p w14:paraId="0000000C" w14:textId="77777777" w:rsidR="00E17BCA" w:rsidRPr="00320EA7" w:rsidRDefault="00E17BCA">
      <w:pPr>
        <w:spacing w:line="240" w:lineRule="auto"/>
        <w:jc w:val="both"/>
        <w:rPr>
          <w:rFonts w:ascii="Univers" w:eastAsia="Open Sans" w:hAnsi="Univers" w:cs="Open Sans"/>
          <w:sz w:val="20"/>
          <w:szCs w:val="20"/>
        </w:rPr>
      </w:pPr>
    </w:p>
    <w:p w14:paraId="0000000D" w14:textId="77777777" w:rsidR="00E17BCA" w:rsidRPr="00320EA7" w:rsidRDefault="00000000">
      <w:pPr>
        <w:spacing w:line="240" w:lineRule="auto"/>
        <w:jc w:val="both"/>
        <w:rPr>
          <w:rFonts w:ascii="Univers" w:eastAsia="Open Sans" w:hAnsi="Univers" w:cs="Open Sans"/>
          <w:sz w:val="20"/>
          <w:szCs w:val="20"/>
        </w:rPr>
      </w:pPr>
      <w:r w:rsidRPr="00320EA7">
        <w:rPr>
          <w:rFonts w:ascii="Univers" w:eastAsia="Open Sans" w:hAnsi="Univers" w:cs="Open Sans"/>
          <w:sz w:val="20"/>
          <w:szCs w:val="20"/>
        </w:rPr>
        <w:t>Specific risks addressed by this policy include disproportionate reliance on relationships with any single government or regulatory body, the perception of alignment arising from frequent or high-profile engagement with a particular public institution, and personal conflicts of interest arising from the prior or concurrent public-sector affiliations of individuals conducting liaison on the Chamber's behalf.</w:t>
      </w:r>
    </w:p>
    <w:p w14:paraId="0000000E" w14:textId="77777777" w:rsidR="00E17BCA" w:rsidRPr="00320EA7" w:rsidRDefault="00E17BCA">
      <w:pPr>
        <w:spacing w:line="240" w:lineRule="auto"/>
        <w:jc w:val="both"/>
        <w:rPr>
          <w:rFonts w:ascii="Univers" w:eastAsia="Open Sans" w:hAnsi="Univers" w:cs="Open Sans"/>
          <w:b/>
          <w:bCs/>
          <w:sz w:val="20"/>
          <w:szCs w:val="20"/>
        </w:rPr>
      </w:pPr>
    </w:p>
    <w:p w14:paraId="0000000F" w14:textId="77777777" w:rsidR="00E17BCA" w:rsidRPr="00320EA7" w:rsidRDefault="00000000">
      <w:pPr>
        <w:spacing w:line="240" w:lineRule="auto"/>
        <w:jc w:val="both"/>
        <w:rPr>
          <w:rFonts w:ascii="Univers" w:eastAsia="Open Sans" w:hAnsi="Univers" w:cs="Open Sans"/>
          <w:b/>
          <w:bCs/>
          <w:sz w:val="24"/>
          <w:szCs w:val="24"/>
        </w:rPr>
      </w:pPr>
      <w:r w:rsidRPr="00320EA7">
        <w:rPr>
          <w:rFonts w:ascii="Univers" w:eastAsia="Open Sans" w:hAnsi="Univers" w:cs="Open Sans"/>
          <w:b/>
          <w:bCs/>
          <w:sz w:val="24"/>
          <w:szCs w:val="24"/>
        </w:rPr>
        <w:t>4. Safeguards</w:t>
      </w:r>
    </w:p>
    <w:p w14:paraId="00000010" w14:textId="77777777" w:rsidR="00E17BCA" w:rsidRPr="00320EA7" w:rsidRDefault="00E17BCA">
      <w:pPr>
        <w:spacing w:line="240" w:lineRule="auto"/>
        <w:jc w:val="both"/>
        <w:rPr>
          <w:rFonts w:ascii="Univers" w:eastAsia="Open Sans" w:hAnsi="Univers" w:cs="Open Sans"/>
          <w:sz w:val="20"/>
          <w:szCs w:val="20"/>
        </w:rPr>
      </w:pPr>
    </w:p>
    <w:p w14:paraId="00000011" w14:textId="77777777" w:rsidR="00E17BCA" w:rsidRPr="00320EA7" w:rsidRDefault="00000000">
      <w:pPr>
        <w:spacing w:line="240" w:lineRule="auto"/>
        <w:jc w:val="both"/>
        <w:rPr>
          <w:rFonts w:ascii="Univers" w:eastAsia="Open Sans" w:hAnsi="Univers" w:cs="Open Sans"/>
          <w:sz w:val="20"/>
          <w:szCs w:val="20"/>
        </w:rPr>
      </w:pPr>
      <w:r w:rsidRPr="00320EA7">
        <w:rPr>
          <w:rFonts w:ascii="Univers" w:eastAsia="Open Sans" w:hAnsi="Univers" w:cs="Open Sans"/>
          <w:sz w:val="20"/>
          <w:szCs w:val="20"/>
        </w:rPr>
        <w:t>Individuals engaged in government and regulatory liaison must disclose relevant conflicts of interest and recuse themselves where appropriate. Engagement with any single public institution is monitored to ensure it does not disproportionately shape the Chamber's broader institutional positions, consistent with the Cross-Jurisdictional Consultation &amp; Coordination Procedures.</w:t>
      </w:r>
    </w:p>
    <w:p w14:paraId="00000012" w14:textId="77777777" w:rsidR="00E17BCA" w:rsidRPr="00320EA7" w:rsidRDefault="00E17BCA">
      <w:pPr>
        <w:spacing w:line="240" w:lineRule="auto"/>
        <w:jc w:val="both"/>
        <w:rPr>
          <w:rFonts w:ascii="Univers" w:eastAsia="Open Sans" w:hAnsi="Univers" w:cs="Open Sans"/>
          <w:b/>
          <w:bCs/>
          <w:sz w:val="20"/>
          <w:szCs w:val="20"/>
        </w:rPr>
      </w:pPr>
    </w:p>
    <w:p w14:paraId="00000013" w14:textId="77777777" w:rsidR="00E17BCA" w:rsidRPr="00320EA7" w:rsidRDefault="00000000">
      <w:pPr>
        <w:spacing w:line="240" w:lineRule="auto"/>
        <w:jc w:val="both"/>
        <w:rPr>
          <w:rFonts w:ascii="Univers" w:eastAsia="Open Sans" w:hAnsi="Univers" w:cs="Open Sans"/>
          <w:b/>
          <w:bCs/>
          <w:sz w:val="24"/>
          <w:szCs w:val="24"/>
        </w:rPr>
      </w:pPr>
      <w:r w:rsidRPr="00320EA7">
        <w:rPr>
          <w:rFonts w:ascii="Univers" w:eastAsia="Open Sans" w:hAnsi="Univers" w:cs="Open Sans"/>
          <w:b/>
          <w:bCs/>
          <w:sz w:val="24"/>
          <w:szCs w:val="24"/>
        </w:rPr>
        <w:t>5. Monitoring</w:t>
      </w:r>
    </w:p>
    <w:p w14:paraId="00000014" w14:textId="77777777" w:rsidR="00E17BCA" w:rsidRPr="00320EA7" w:rsidRDefault="00E17BCA">
      <w:pPr>
        <w:spacing w:line="240" w:lineRule="auto"/>
        <w:jc w:val="both"/>
        <w:rPr>
          <w:rFonts w:ascii="Univers" w:eastAsia="Open Sans" w:hAnsi="Univers" w:cs="Open Sans"/>
          <w:sz w:val="20"/>
          <w:szCs w:val="20"/>
        </w:rPr>
      </w:pPr>
    </w:p>
    <w:p w14:paraId="00000015" w14:textId="77777777" w:rsidR="00E17BCA" w:rsidRPr="00320EA7" w:rsidRDefault="00000000">
      <w:pPr>
        <w:spacing w:line="240" w:lineRule="auto"/>
        <w:jc w:val="both"/>
        <w:rPr>
          <w:rFonts w:ascii="Univers" w:eastAsia="Open Sans" w:hAnsi="Univers" w:cs="Open Sans"/>
          <w:sz w:val="20"/>
          <w:szCs w:val="20"/>
        </w:rPr>
      </w:pPr>
      <w:r w:rsidRPr="00320EA7">
        <w:rPr>
          <w:rFonts w:ascii="Univers" w:eastAsia="Open Sans" w:hAnsi="Univers" w:cs="Open Sans"/>
          <w:sz w:val="20"/>
          <w:szCs w:val="20"/>
        </w:rPr>
        <w:t xml:space="preserve">Oversight &amp; Compliance Functions monitor the Chamber's pattern of public-institution engagement across jurisdictions, assessing whether the frequency or nature of engagement with any </w:t>
      </w:r>
      <w:proofErr w:type="gramStart"/>
      <w:r w:rsidRPr="00320EA7">
        <w:rPr>
          <w:rFonts w:ascii="Univers" w:eastAsia="Open Sans" w:hAnsi="Univers" w:cs="Open Sans"/>
          <w:sz w:val="20"/>
          <w:szCs w:val="20"/>
        </w:rPr>
        <w:t>particular government</w:t>
      </w:r>
      <w:proofErr w:type="gramEnd"/>
      <w:r w:rsidRPr="00320EA7">
        <w:rPr>
          <w:rFonts w:ascii="Univers" w:eastAsia="Open Sans" w:hAnsi="Univers" w:cs="Open Sans"/>
          <w:sz w:val="20"/>
          <w:szCs w:val="20"/>
        </w:rPr>
        <w:t xml:space="preserve"> or regulator raises a neutrality concern requiring corrective action.</w:t>
      </w:r>
    </w:p>
    <w:p w14:paraId="00000016" w14:textId="77777777" w:rsidR="00E17BCA" w:rsidRPr="00320EA7" w:rsidRDefault="00E17BCA">
      <w:pPr>
        <w:spacing w:line="240" w:lineRule="auto"/>
        <w:jc w:val="both"/>
        <w:rPr>
          <w:rFonts w:ascii="Univers" w:eastAsia="Open Sans" w:hAnsi="Univers" w:cs="Open Sans"/>
          <w:b/>
          <w:bCs/>
          <w:sz w:val="20"/>
          <w:szCs w:val="20"/>
        </w:rPr>
      </w:pPr>
    </w:p>
    <w:p w14:paraId="00000017" w14:textId="77777777" w:rsidR="00E17BCA" w:rsidRPr="00320EA7" w:rsidRDefault="00000000">
      <w:pPr>
        <w:spacing w:line="240" w:lineRule="auto"/>
        <w:jc w:val="both"/>
        <w:rPr>
          <w:rFonts w:ascii="Univers" w:eastAsia="Open Sans" w:hAnsi="Univers" w:cs="Open Sans"/>
          <w:b/>
          <w:bCs/>
          <w:sz w:val="24"/>
          <w:szCs w:val="24"/>
        </w:rPr>
      </w:pPr>
      <w:r w:rsidRPr="00320EA7">
        <w:rPr>
          <w:rFonts w:ascii="Univers" w:eastAsia="Open Sans" w:hAnsi="Univers" w:cs="Open Sans"/>
          <w:b/>
          <w:bCs/>
          <w:sz w:val="24"/>
          <w:szCs w:val="24"/>
        </w:rPr>
        <w:t>6. Breach and Remediation</w:t>
      </w:r>
    </w:p>
    <w:p w14:paraId="00000018" w14:textId="77777777" w:rsidR="00E17BCA" w:rsidRPr="00320EA7" w:rsidRDefault="00E17BCA">
      <w:pPr>
        <w:spacing w:line="240" w:lineRule="auto"/>
        <w:jc w:val="both"/>
        <w:rPr>
          <w:rFonts w:ascii="Univers" w:eastAsia="Open Sans" w:hAnsi="Univers" w:cs="Open Sans"/>
          <w:sz w:val="20"/>
          <w:szCs w:val="20"/>
        </w:rPr>
      </w:pPr>
    </w:p>
    <w:p w14:paraId="00000019" w14:textId="77777777" w:rsidR="00E17BCA" w:rsidRPr="00320EA7" w:rsidRDefault="00000000">
      <w:pPr>
        <w:spacing w:line="240" w:lineRule="auto"/>
        <w:jc w:val="both"/>
        <w:rPr>
          <w:rFonts w:ascii="Univers" w:eastAsia="Open Sans" w:hAnsi="Univers" w:cs="Open Sans"/>
          <w:sz w:val="20"/>
          <w:szCs w:val="20"/>
        </w:rPr>
      </w:pPr>
      <w:r w:rsidRPr="00320EA7">
        <w:rPr>
          <w:rFonts w:ascii="Univers" w:eastAsia="Open Sans" w:hAnsi="Univers" w:cs="Open Sans"/>
          <w:sz w:val="20"/>
          <w:szCs w:val="20"/>
        </w:rPr>
        <w:t xml:space="preserve">Breaches of this policy are addressed through the Chamber's established accountability procedures, with findings documented and remediation tracked to completion, and matters of significance referred </w:t>
      </w:r>
      <w:proofErr w:type="gramStart"/>
      <w:r w:rsidRPr="00320EA7">
        <w:rPr>
          <w:rFonts w:ascii="Univers" w:eastAsia="Open Sans" w:hAnsi="Univers" w:cs="Open Sans"/>
          <w:sz w:val="20"/>
          <w:szCs w:val="20"/>
        </w:rPr>
        <w:t>to</w:t>
      </w:r>
      <w:proofErr w:type="gramEnd"/>
      <w:r w:rsidRPr="00320EA7">
        <w:rPr>
          <w:rFonts w:ascii="Univers" w:eastAsia="Open Sans" w:hAnsi="Univers" w:cs="Open Sans"/>
          <w:sz w:val="20"/>
          <w:szCs w:val="20"/>
        </w:rPr>
        <w:t xml:space="preserve"> the Governing Council.</w:t>
      </w:r>
    </w:p>
    <w:p w14:paraId="0000001A" w14:textId="77777777" w:rsidR="00E17BCA" w:rsidRPr="00320EA7" w:rsidRDefault="00E17BCA">
      <w:pPr>
        <w:spacing w:line="240" w:lineRule="auto"/>
        <w:jc w:val="both"/>
        <w:rPr>
          <w:rFonts w:ascii="Univers" w:eastAsia="Open Sans" w:hAnsi="Univers" w:cs="Open Sans"/>
          <w:b/>
          <w:bCs/>
          <w:sz w:val="20"/>
          <w:szCs w:val="20"/>
        </w:rPr>
      </w:pPr>
    </w:p>
    <w:p w14:paraId="0000001B" w14:textId="77777777" w:rsidR="00E17BCA" w:rsidRPr="00320EA7" w:rsidRDefault="00000000">
      <w:pPr>
        <w:spacing w:line="240" w:lineRule="auto"/>
        <w:jc w:val="both"/>
        <w:rPr>
          <w:rFonts w:ascii="Univers" w:eastAsia="Open Sans" w:hAnsi="Univers" w:cs="Open Sans"/>
          <w:b/>
          <w:bCs/>
          <w:sz w:val="24"/>
          <w:szCs w:val="24"/>
        </w:rPr>
      </w:pPr>
      <w:r w:rsidRPr="00320EA7">
        <w:rPr>
          <w:rFonts w:ascii="Univers" w:eastAsia="Open Sans" w:hAnsi="Univers" w:cs="Open Sans"/>
          <w:b/>
          <w:bCs/>
          <w:sz w:val="24"/>
          <w:szCs w:val="24"/>
        </w:rPr>
        <w:t>7. Alignment with Governance Framework</w:t>
      </w:r>
    </w:p>
    <w:p w14:paraId="0000001C" w14:textId="77777777" w:rsidR="00E17BCA" w:rsidRPr="00320EA7" w:rsidRDefault="00E17BCA">
      <w:pPr>
        <w:spacing w:line="240" w:lineRule="auto"/>
        <w:jc w:val="both"/>
        <w:rPr>
          <w:rFonts w:ascii="Univers" w:eastAsia="Open Sans" w:hAnsi="Univers" w:cs="Open Sans"/>
          <w:sz w:val="20"/>
          <w:szCs w:val="20"/>
        </w:rPr>
      </w:pPr>
    </w:p>
    <w:p w14:paraId="0000001D" w14:textId="77777777" w:rsidR="00E17BCA" w:rsidRPr="00320EA7" w:rsidRDefault="00000000">
      <w:pPr>
        <w:spacing w:line="240" w:lineRule="auto"/>
        <w:jc w:val="both"/>
        <w:rPr>
          <w:rFonts w:ascii="Univers" w:eastAsia="Open Sans" w:hAnsi="Univers" w:cs="Open Sans"/>
          <w:sz w:val="20"/>
          <w:szCs w:val="20"/>
        </w:rPr>
      </w:pPr>
      <w:r w:rsidRPr="00320EA7">
        <w:rPr>
          <w:rFonts w:ascii="Univers" w:eastAsia="Open Sans" w:hAnsi="Univers" w:cs="Open Sans"/>
          <w:sz w:val="20"/>
          <w:szCs w:val="20"/>
        </w:rPr>
        <w:t>This policy ensures that the Chamber's engagement with public institutions, however extensive or longstanding, never compromises the impartiality on which its credibility as a cross-border institution ultimately depends.</w:t>
      </w:r>
    </w:p>
    <w:p w14:paraId="0000001E" w14:textId="77777777" w:rsidR="00E17BCA" w:rsidRPr="00320EA7" w:rsidRDefault="00E17BCA">
      <w:pPr>
        <w:spacing w:line="240" w:lineRule="auto"/>
        <w:jc w:val="both"/>
        <w:rPr>
          <w:rFonts w:ascii="Univers" w:eastAsia="Open Sans" w:hAnsi="Univers" w:cs="Open Sans"/>
          <w:sz w:val="20"/>
          <w:szCs w:val="20"/>
        </w:rPr>
      </w:pPr>
    </w:p>
    <w:sectPr w:rsidR="00E17BCA" w:rsidRPr="00320EA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DF6B6E78-9ED2-4D44-8FE6-2E76C457FD75}"/>
    <w:embedBold r:id="rId2" w:fontKey="{18035492-2301-43B4-9D28-E8A3683F1482}"/>
  </w:font>
  <w:font w:name="Open Sans">
    <w:charset w:val="00"/>
    <w:family w:val="swiss"/>
    <w:pitch w:val="variable"/>
    <w:sig w:usb0="E00002EF" w:usb1="4000205B" w:usb2="00000028" w:usb3="00000000" w:csb0="0000019F" w:csb1="00000000"/>
    <w:embedRegular r:id="rId3" w:fontKey="{B361FE28-5A7C-4CDB-A647-CB1F8B526E9E}"/>
    <w:embedBold r:id="rId4" w:fontKey="{316E9066-8698-40D9-AEAD-A278B8D19C18}"/>
  </w:font>
  <w:font w:name="Cambria Math">
    <w:panose1 w:val="02040503050406030204"/>
    <w:charset w:val="00"/>
    <w:family w:val="roman"/>
    <w:pitch w:val="variable"/>
    <w:sig w:usb0="E00006FF" w:usb1="420024FF" w:usb2="02000000" w:usb3="00000000" w:csb0="0000019F" w:csb1="00000000"/>
    <w:embedBold r:id="rId5" w:fontKey="{852FD939-0CE0-4F6E-8221-9BEF3D625FB6}"/>
  </w:font>
  <w:font w:name="Calibri">
    <w:panose1 w:val="020F0502020204030204"/>
    <w:charset w:val="00"/>
    <w:family w:val="swiss"/>
    <w:pitch w:val="variable"/>
    <w:sig w:usb0="E4002EFF" w:usb1="C200247B" w:usb2="00000009" w:usb3="00000000" w:csb0="000001FF" w:csb1="00000000"/>
    <w:embedRegular r:id="rId6" w:fontKey="{26D724C7-BF85-47AC-828D-62D3A89F9C2C}"/>
  </w:font>
  <w:font w:name="Cambria">
    <w:panose1 w:val="02040503050406030204"/>
    <w:charset w:val="00"/>
    <w:family w:val="roman"/>
    <w:pitch w:val="variable"/>
    <w:sig w:usb0="E00006FF" w:usb1="420024FF" w:usb2="02000000" w:usb3="00000000" w:csb0="0000019F" w:csb1="00000000"/>
    <w:embedRegular r:id="rId7" w:fontKey="{639FA584-8037-4787-8D74-F9B4EDCE855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BCA"/>
    <w:rsid w:val="00320EA7"/>
    <w:rsid w:val="00516FBF"/>
    <w:rsid w:val="00E17BC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975AF6-CC05-4164-9FD2-50C613E54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355</Words>
  <Characters>2029</Characters>
  <Application>Microsoft Office Word</Application>
  <DocSecurity>0</DocSecurity>
  <Lines>16</Lines>
  <Paragraphs>4</Paragraphs>
  <ScaleCrop>false</ScaleCrop>
  <Company>Department of Education</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2026-07-23T09:31:00Z</dcterms:created>
  <dcterms:modified xsi:type="dcterms:W3CDTF">2026-07-23T09:31:00Z</dcterms:modified>
</cp:coreProperties>
</file>