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129C" w:rsidRPr="004F74A1" w:rsidRDefault="00000000">
      <w:pPr>
        <w:spacing w:line="240" w:lineRule="auto"/>
        <w:jc w:val="center"/>
        <w:rPr>
          <w:rFonts w:ascii="Univers" w:eastAsia="Open Sans" w:hAnsi="Univers" w:cs="Open Sans"/>
          <w:b/>
          <w:bCs/>
          <w:sz w:val="24"/>
          <w:szCs w:val="24"/>
        </w:rPr>
      </w:pPr>
      <w:r w:rsidRPr="004F74A1">
        <w:rPr>
          <w:rFonts w:ascii="Univers" w:eastAsia="Open Sans" w:hAnsi="Univers" w:cs="Open Sans"/>
          <w:b/>
          <w:bCs/>
          <w:sz w:val="24"/>
          <w:szCs w:val="24"/>
        </w:rPr>
        <w:t xml:space="preserve">INSTITUTIONAL NEUTRALITY &amp; SAFEGUARD MEASURES FOR INTERNATIONAL ENGAGEMENT </w:t>
      </w:r>
    </w:p>
    <w:p w14:paraId="00000002" w14:textId="77777777" w:rsidR="00A2129C" w:rsidRPr="004F74A1" w:rsidRDefault="00A2129C">
      <w:pPr>
        <w:spacing w:line="240" w:lineRule="auto"/>
        <w:jc w:val="both"/>
        <w:rPr>
          <w:rFonts w:ascii="Univers" w:eastAsia="Open Sans" w:hAnsi="Univers" w:cs="Open Sans"/>
          <w:sz w:val="20"/>
          <w:szCs w:val="20"/>
        </w:rPr>
      </w:pPr>
    </w:p>
    <w:p w14:paraId="00000003"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1. Purpose and Scope</w:t>
      </w:r>
    </w:p>
    <w:p w14:paraId="00000004" w14:textId="77777777" w:rsidR="00A2129C" w:rsidRPr="004F74A1" w:rsidRDefault="00A2129C">
      <w:pPr>
        <w:spacing w:line="240" w:lineRule="auto"/>
        <w:jc w:val="both"/>
        <w:rPr>
          <w:rFonts w:ascii="Univers" w:eastAsia="Open Sans" w:hAnsi="Univers" w:cs="Open Sans"/>
          <w:sz w:val="20"/>
          <w:szCs w:val="20"/>
        </w:rPr>
      </w:pPr>
    </w:p>
    <w:p w14:paraId="00000005"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 xml:space="preserve">This document sets out the specific safeguards protecting the World Economic Chamber's neutrality in the context of its international cooperation and engagement activity, extending the Institutional Independence &amp; Neutrality Policy to the </w:t>
      </w:r>
      <w:proofErr w:type="gramStart"/>
      <w:r w:rsidRPr="004F74A1">
        <w:rPr>
          <w:rFonts w:ascii="Univers" w:eastAsia="Open Sans" w:hAnsi="Univers" w:cs="Open Sans"/>
          <w:sz w:val="20"/>
          <w:szCs w:val="20"/>
        </w:rPr>
        <w:t>particular risks</w:t>
      </w:r>
      <w:proofErr w:type="gramEnd"/>
      <w:r w:rsidRPr="004F74A1">
        <w:rPr>
          <w:rFonts w:ascii="Univers" w:eastAsia="Open Sans" w:hAnsi="Univers" w:cs="Open Sans"/>
          <w:sz w:val="20"/>
          <w:szCs w:val="20"/>
        </w:rPr>
        <w:t xml:space="preserve"> arising from sustained international relationships.</w:t>
      </w:r>
    </w:p>
    <w:p w14:paraId="00000006" w14:textId="77777777" w:rsidR="00A2129C" w:rsidRPr="004F74A1" w:rsidRDefault="00A2129C">
      <w:pPr>
        <w:spacing w:line="240" w:lineRule="auto"/>
        <w:jc w:val="both"/>
        <w:rPr>
          <w:rFonts w:ascii="Univers" w:eastAsia="Open Sans" w:hAnsi="Univers" w:cs="Open Sans"/>
          <w:b/>
          <w:bCs/>
          <w:sz w:val="20"/>
          <w:szCs w:val="20"/>
        </w:rPr>
      </w:pPr>
    </w:p>
    <w:p w14:paraId="00000007"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2. Rationale</w:t>
      </w:r>
    </w:p>
    <w:p w14:paraId="00000008" w14:textId="77777777" w:rsidR="00A2129C" w:rsidRPr="004F74A1" w:rsidRDefault="00A2129C">
      <w:pPr>
        <w:spacing w:line="240" w:lineRule="auto"/>
        <w:jc w:val="both"/>
        <w:rPr>
          <w:rFonts w:ascii="Univers" w:eastAsia="Open Sans" w:hAnsi="Univers" w:cs="Open Sans"/>
          <w:sz w:val="20"/>
          <w:szCs w:val="20"/>
        </w:rPr>
      </w:pPr>
    </w:p>
    <w:p w14:paraId="00000009"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International engagement, by its nature, involves sustained proximity to counterparts whose interests may not always align with institutional neutrality. These measures exist to ensure that the Chamber's independence is preserved throughout the life of any international relationship.</w:t>
      </w:r>
    </w:p>
    <w:p w14:paraId="0000000A" w14:textId="77777777" w:rsidR="00A2129C" w:rsidRPr="004F74A1" w:rsidRDefault="00A2129C">
      <w:pPr>
        <w:spacing w:line="240" w:lineRule="auto"/>
        <w:jc w:val="both"/>
        <w:rPr>
          <w:rFonts w:ascii="Univers" w:eastAsia="Open Sans" w:hAnsi="Univers" w:cs="Open Sans"/>
          <w:b/>
          <w:bCs/>
          <w:sz w:val="20"/>
          <w:szCs w:val="20"/>
        </w:rPr>
      </w:pPr>
    </w:p>
    <w:p w14:paraId="0000000B"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3. Identified Risks</w:t>
      </w:r>
    </w:p>
    <w:p w14:paraId="0000000C" w14:textId="77777777" w:rsidR="00A2129C" w:rsidRPr="004F74A1" w:rsidRDefault="00A2129C">
      <w:pPr>
        <w:spacing w:line="240" w:lineRule="auto"/>
        <w:jc w:val="both"/>
        <w:rPr>
          <w:rFonts w:ascii="Univers" w:eastAsia="Open Sans" w:hAnsi="Univers" w:cs="Open Sans"/>
          <w:sz w:val="20"/>
          <w:szCs w:val="20"/>
        </w:rPr>
      </w:pPr>
    </w:p>
    <w:p w14:paraId="0000000D"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Risks addressed include disproportionate reliance on a single international counterpart, the perception of alignment arising from frequent or prominent engagement with a particular institution or government, and conflicts of interest arising from the affiliations of individuals conducting international liaison.</w:t>
      </w:r>
    </w:p>
    <w:p w14:paraId="0000000E" w14:textId="77777777" w:rsidR="00A2129C" w:rsidRPr="004F74A1" w:rsidRDefault="00A2129C">
      <w:pPr>
        <w:spacing w:line="240" w:lineRule="auto"/>
        <w:jc w:val="both"/>
        <w:rPr>
          <w:rFonts w:ascii="Univers" w:eastAsia="Open Sans" w:hAnsi="Univers" w:cs="Open Sans"/>
          <w:b/>
          <w:bCs/>
          <w:sz w:val="20"/>
          <w:szCs w:val="20"/>
        </w:rPr>
      </w:pPr>
    </w:p>
    <w:p w14:paraId="0000000F"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4. Safeguards</w:t>
      </w:r>
    </w:p>
    <w:p w14:paraId="00000010" w14:textId="77777777" w:rsidR="00A2129C" w:rsidRPr="004F74A1" w:rsidRDefault="00A2129C">
      <w:pPr>
        <w:spacing w:line="240" w:lineRule="auto"/>
        <w:jc w:val="both"/>
        <w:rPr>
          <w:rFonts w:ascii="Univers" w:eastAsia="Open Sans" w:hAnsi="Univers" w:cs="Open Sans"/>
          <w:sz w:val="20"/>
          <w:szCs w:val="20"/>
        </w:rPr>
      </w:pPr>
    </w:p>
    <w:p w14:paraId="00000011"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Individuals conducting international engagement must disclose relevant conflicts of interest and recuse themselves where appropriate. The pattern of the Chamber's international engagement is monitored to ensure no single relationship disproportionately shapes institutional positions.</w:t>
      </w:r>
    </w:p>
    <w:p w14:paraId="00000012" w14:textId="77777777" w:rsidR="00A2129C" w:rsidRPr="004F74A1" w:rsidRDefault="00A2129C">
      <w:pPr>
        <w:spacing w:line="240" w:lineRule="auto"/>
        <w:jc w:val="both"/>
        <w:rPr>
          <w:rFonts w:ascii="Univers" w:eastAsia="Open Sans" w:hAnsi="Univers" w:cs="Open Sans"/>
          <w:b/>
          <w:bCs/>
          <w:sz w:val="20"/>
          <w:szCs w:val="20"/>
        </w:rPr>
      </w:pPr>
    </w:p>
    <w:p w14:paraId="00000013"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5. Monitoring</w:t>
      </w:r>
    </w:p>
    <w:p w14:paraId="00000014" w14:textId="77777777" w:rsidR="00A2129C" w:rsidRPr="004F74A1" w:rsidRDefault="00A2129C">
      <w:pPr>
        <w:spacing w:line="240" w:lineRule="auto"/>
        <w:jc w:val="both"/>
        <w:rPr>
          <w:rFonts w:ascii="Univers" w:eastAsia="Open Sans" w:hAnsi="Univers" w:cs="Open Sans"/>
          <w:sz w:val="20"/>
          <w:szCs w:val="20"/>
        </w:rPr>
      </w:pPr>
    </w:p>
    <w:p w14:paraId="00000015"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Oversight &amp; Compliance Functions monitor international engagement activity across jurisdictions and counterparts, assessing whether the Chamber's pattern of relationships raises a neutrality concern requiring corrective action.</w:t>
      </w:r>
    </w:p>
    <w:p w14:paraId="00000016" w14:textId="77777777" w:rsidR="00A2129C" w:rsidRPr="004F74A1" w:rsidRDefault="00A2129C">
      <w:pPr>
        <w:spacing w:line="240" w:lineRule="auto"/>
        <w:jc w:val="both"/>
        <w:rPr>
          <w:rFonts w:ascii="Univers" w:eastAsia="Open Sans" w:hAnsi="Univers" w:cs="Open Sans"/>
          <w:b/>
          <w:bCs/>
          <w:sz w:val="20"/>
          <w:szCs w:val="20"/>
        </w:rPr>
      </w:pPr>
    </w:p>
    <w:p w14:paraId="00000017"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6. Breach and Remediation</w:t>
      </w:r>
    </w:p>
    <w:p w14:paraId="00000018" w14:textId="77777777" w:rsidR="00A2129C" w:rsidRPr="004F74A1" w:rsidRDefault="00A2129C">
      <w:pPr>
        <w:spacing w:line="240" w:lineRule="auto"/>
        <w:jc w:val="both"/>
        <w:rPr>
          <w:rFonts w:ascii="Univers" w:eastAsia="Open Sans" w:hAnsi="Univers" w:cs="Open Sans"/>
          <w:sz w:val="20"/>
          <w:szCs w:val="20"/>
        </w:rPr>
      </w:pPr>
    </w:p>
    <w:p w14:paraId="00000019"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Breaches are addressed through the Chamber's established accountability procedures, with findings documented and remediation tracked to completion, and matters of significance referred to the Governing Council.</w:t>
      </w:r>
    </w:p>
    <w:p w14:paraId="0000001A" w14:textId="77777777" w:rsidR="00A2129C" w:rsidRPr="004F74A1" w:rsidRDefault="00A2129C">
      <w:pPr>
        <w:spacing w:line="240" w:lineRule="auto"/>
        <w:jc w:val="both"/>
        <w:rPr>
          <w:rFonts w:ascii="Univers" w:eastAsia="Open Sans" w:hAnsi="Univers" w:cs="Open Sans"/>
          <w:b/>
          <w:bCs/>
          <w:sz w:val="20"/>
          <w:szCs w:val="20"/>
        </w:rPr>
      </w:pPr>
    </w:p>
    <w:p w14:paraId="0000001B" w14:textId="77777777" w:rsidR="00A2129C" w:rsidRPr="004F74A1" w:rsidRDefault="00000000">
      <w:pPr>
        <w:spacing w:line="240" w:lineRule="auto"/>
        <w:jc w:val="both"/>
        <w:rPr>
          <w:rFonts w:ascii="Univers" w:eastAsia="Open Sans" w:hAnsi="Univers" w:cs="Open Sans"/>
          <w:b/>
          <w:bCs/>
          <w:sz w:val="24"/>
          <w:szCs w:val="24"/>
        </w:rPr>
      </w:pPr>
      <w:r w:rsidRPr="004F74A1">
        <w:rPr>
          <w:rFonts w:ascii="Univers" w:eastAsia="Open Sans" w:hAnsi="Univers" w:cs="Open Sans"/>
          <w:b/>
          <w:bCs/>
          <w:sz w:val="24"/>
          <w:szCs w:val="24"/>
        </w:rPr>
        <w:t>7. Alignment with Governance Framework</w:t>
      </w:r>
    </w:p>
    <w:p w14:paraId="0000001C" w14:textId="77777777" w:rsidR="00A2129C" w:rsidRPr="004F74A1" w:rsidRDefault="00A2129C">
      <w:pPr>
        <w:spacing w:line="240" w:lineRule="auto"/>
        <w:jc w:val="both"/>
        <w:rPr>
          <w:rFonts w:ascii="Univers" w:eastAsia="Open Sans" w:hAnsi="Univers" w:cs="Open Sans"/>
          <w:sz w:val="20"/>
          <w:szCs w:val="20"/>
        </w:rPr>
      </w:pPr>
    </w:p>
    <w:p w14:paraId="0000001D" w14:textId="77777777" w:rsidR="00A2129C" w:rsidRPr="004F74A1" w:rsidRDefault="00000000">
      <w:pPr>
        <w:spacing w:line="240" w:lineRule="auto"/>
        <w:jc w:val="both"/>
        <w:rPr>
          <w:rFonts w:ascii="Univers" w:eastAsia="Open Sans" w:hAnsi="Univers" w:cs="Open Sans"/>
          <w:sz w:val="20"/>
          <w:szCs w:val="20"/>
        </w:rPr>
      </w:pPr>
      <w:r w:rsidRPr="004F74A1">
        <w:rPr>
          <w:rFonts w:ascii="Univers" w:eastAsia="Open Sans" w:hAnsi="Univers" w:cs="Open Sans"/>
          <w:sz w:val="20"/>
          <w:szCs w:val="20"/>
        </w:rPr>
        <w:t>These measures ensure that the depth and breadth of the Chamber's international relationships never compromise the impartiality that underpins its credibility as a cross-border institution.</w:t>
      </w:r>
    </w:p>
    <w:p w14:paraId="0000001E" w14:textId="77777777" w:rsidR="00A2129C" w:rsidRPr="004F74A1" w:rsidRDefault="00A2129C">
      <w:pPr>
        <w:spacing w:line="240" w:lineRule="auto"/>
        <w:jc w:val="both"/>
        <w:rPr>
          <w:rFonts w:ascii="Univers" w:eastAsia="Open Sans" w:hAnsi="Univers" w:cs="Open Sans"/>
          <w:sz w:val="20"/>
          <w:szCs w:val="20"/>
        </w:rPr>
      </w:pPr>
    </w:p>
    <w:sectPr w:rsidR="00A2129C" w:rsidRPr="004F74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3E8AE8FE-9EA0-44DB-81AD-C9EB78092BFA}"/>
    <w:embedBold r:id="rId2" w:fontKey="{01E060F9-D8BA-4F55-ABD4-D1A3330D4269}"/>
  </w:font>
  <w:font w:name="Open Sans">
    <w:charset w:val="00"/>
    <w:family w:val="swiss"/>
    <w:pitch w:val="variable"/>
    <w:sig w:usb0="E00002EF" w:usb1="4000205B" w:usb2="00000028" w:usb3="00000000" w:csb0="0000019F" w:csb1="00000000"/>
    <w:embedRegular r:id="rId3" w:fontKey="{3ED5C314-5EBF-4B6D-8F33-D556A81B61CC}"/>
    <w:embedBold r:id="rId4" w:fontKey="{C17F21F9-79D0-43E2-9501-3894D2F19894}"/>
  </w:font>
  <w:font w:name="Calibri">
    <w:panose1 w:val="020F0502020204030204"/>
    <w:charset w:val="00"/>
    <w:family w:val="swiss"/>
    <w:pitch w:val="variable"/>
    <w:sig w:usb0="E4002EFF" w:usb1="C200247B" w:usb2="00000009" w:usb3="00000000" w:csb0="000001FF" w:csb1="00000000"/>
    <w:embedRegular r:id="rId5" w:fontKey="{A14208F9-0FA6-4ACF-8831-9B6701F59DD2}"/>
  </w:font>
  <w:font w:name="Cambria">
    <w:panose1 w:val="02040503050406030204"/>
    <w:charset w:val="00"/>
    <w:family w:val="roman"/>
    <w:pitch w:val="variable"/>
    <w:sig w:usb0="E00006FF" w:usb1="420024FF" w:usb2="02000000" w:usb3="00000000" w:csb0="0000019F" w:csb1="00000000"/>
    <w:embedRegular r:id="rId6" w:fontKey="{F3FAC655-E751-458A-A599-85E494BEDB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9C"/>
    <w:rsid w:val="004F74A1"/>
    <w:rsid w:val="00A2129C"/>
    <w:rsid w:val="00BD06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8C9FE9-CCB9-4AA4-838B-F14CC4B2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1751</Characters>
  <Application>Microsoft Office Word</Application>
  <DocSecurity>0</DocSecurity>
  <Lines>14</Lines>
  <Paragraphs>4</Paragraphs>
  <ScaleCrop>false</ScaleCrop>
  <Company>Department of Education</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2026-07-23T09:34:00Z</dcterms:created>
  <dcterms:modified xsi:type="dcterms:W3CDTF">2026-07-23T09:35:00Z</dcterms:modified>
</cp:coreProperties>
</file>