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87BEA" w:rsidRPr="00EF2AF6" w:rsidRDefault="00000000">
      <w:pPr>
        <w:jc w:val="center"/>
        <w:rPr>
          <w:rFonts w:ascii="Univers" w:eastAsia="Open Sans" w:hAnsi="Univers" w:cs="Open Sans"/>
          <w:b/>
          <w:bCs/>
          <w:sz w:val="24"/>
          <w:szCs w:val="24"/>
        </w:rPr>
      </w:pPr>
      <w:r w:rsidRPr="00EF2AF6">
        <w:rPr>
          <w:rFonts w:ascii="Univers" w:eastAsia="Open Sans" w:hAnsi="Univers" w:cs="Open Sans"/>
          <w:b/>
          <w:bCs/>
          <w:sz w:val="24"/>
          <w:szCs w:val="24"/>
        </w:rPr>
        <w:t>TRANSPARENCY &amp; DISCLOSURE EXPECTATIONS</w:t>
      </w:r>
    </w:p>
    <w:p w14:paraId="00000002" w14:textId="77777777" w:rsidR="00987BEA" w:rsidRPr="00EF2AF6" w:rsidRDefault="00987BEA">
      <w:pPr>
        <w:jc w:val="both"/>
        <w:rPr>
          <w:rFonts w:ascii="Univers" w:eastAsia="Open Sans" w:hAnsi="Univers" w:cs="Open Sans"/>
          <w:sz w:val="20"/>
          <w:szCs w:val="20"/>
        </w:rPr>
      </w:pPr>
    </w:p>
    <w:p w14:paraId="00000003" w14:textId="77777777" w:rsidR="00987BEA" w:rsidRPr="00EF2AF6" w:rsidRDefault="00000000">
      <w:pPr>
        <w:jc w:val="both"/>
        <w:rPr>
          <w:rFonts w:ascii="Univers" w:eastAsia="Open Sans" w:hAnsi="Univers" w:cs="Open Sans"/>
          <w:b/>
          <w:bCs/>
          <w:sz w:val="24"/>
          <w:szCs w:val="24"/>
        </w:rPr>
      </w:pPr>
      <w:r w:rsidRPr="00EF2AF6">
        <w:rPr>
          <w:rFonts w:ascii="Univers" w:eastAsia="Open Sans" w:hAnsi="Univers" w:cs="Open Sans"/>
          <w:b/>
          <w:bCs/>
          <w:sz w:val="24"/>
          <w:szCs w:val="24"/>
        </w:rPr>
        <w:t>1. Purpose and Scope</w:t>
      </w:r>
    </w:p>
    <w:p w14:paraId="00000004" w14:textId="77777777" w:rsidR="00987BEA" w:rsidRPr="00EF2AF6" w:rsidRDefault="00987BEA">
      <w:pPr>
        <w:jc w:val="both"/>
        <w:rPr>
          <w:rFonts w:ascii="Univers" w:eastAsia="Open Sans" w:hAnsi="Univers" w:cs="Open Sans"/>
          <w:sz w:val="20"/>
          <w:szCs w:val="20"/>
        </w:rPr>
      </w:pPr>
    </w:p>
    <w:p w14:paraId="00000005" w14:textId="77777777" w:rsidR="00987BEA" w:rsidRPr="00EF2AF6" w:rsidRDefault="00000000">
      <w:pPr>
        <w:jc w:val="both"/>
        <w:rPr>
          <w:rFonts w:ascii="Univers" w:eastAsia="Open Sans" w:hAnsi="Univers" w:cs="Open Sans"/>
          <w:sz w:val="20"/>
          <w:szCs w:val="20"/>
        </w:rPr>
      </w:pPr>
      <w:r w:rsidRPr="00EF2AF6">
        <w:rPr>
          <w:rFonts w:ascii="Univers" w:eastAsia="Open Sans" w:hAnsi="Univers" w:cs="Open Sans"/>
          <w:sz w:val="20"/>
          <w:szCs w:val="20"/>
        </w:rPr>
        <w:t>The Transparency &amp; Disclosure Expectations set out how the World Economic Chamber communicates its institutional decisions, program activities and governance actions to members, partner organisations and, where appropriate, the wider public. They apply to all disclosures made in the Chamber's name, whether formal governance communications, program reporting or public statements, and establish the standard against which the accuracy and completeness of such disclosures are assessed.</w:t>
      </w:r>
    </w:p>
    <w:p w14:paraId="00000006" w14:textId="77777777" w:rsidR="00987BEA" w:rsidRPr="00EF2AF6" w:rsidRDefault="00987BEA">
      <w:pPr>
        <w:jc w:val="both"/>
        <w:rPr>
          <w:rFonts w:ascii="Univers" w:eastAsia="Open Sans" w:hAnsi="Univers" w:cs="Open Sans"/>
          <w:b/>
          <w:bCs/>
          <w:sz w:val="20"/>
          <w:szCs w:val="20"/>
        </w:rPr>
      </w:pPr>
    </w:p>
    <w:p w14:paraId="00000007" w14:textId="77777777" w:rsidR="00987BEA" w:rsidRPr="00EF2AF6" w:rsidRDefault="00000000">
      <w:pPr>
        <w:jc w:val="both"/>
        <w:rPr>
          <w:rFonts w:ascii="Univers" w:eastAsia="Open Sans" w:hAnsi="Univers" w:cs="Open Sans"/>
          <w:b/>
          <w:bCs/>
          <w:sz w:val="24"/>
          <w:szCs w:val="24"/>
        </w:rPr>
      </w:pPr>
      <w:r w:rsidRPr="00EF2AF6">
        <w:rPr>
          <w:rFonts w:ascii="Univers" w:eastAsia="Open Sans" w:hAnsi="Univers" w:cs="Open Sans"/>
          <w:b/>
          <w:bCs/>
          <w:sz w:val="24"/>
          <w:szCs w:val="24"/>
        </w:rPr>
        <w:t>2. Principles of Disclosure</w:t>
      </w:r>
    </w:p>
    <w:p w14:paraId="00000008" w14:textId="77777777" w:rsidR="00987BEA" w:rsidRPr="00EF2AF6" w:rsidRDefault="00987BEA">
      <w:pPr>
        <w:jc w:val="both"/>
        <w:rPr>
          <w:rFonts w:ascii="Univers" w:eastAsia="Open Sans" w:hAnsi="Univers" w:cs="Open Sans"/>
          <w:sz w:val="20"/>
          <w:szCs w:val="20"/>
        </w:rPr>
      </w:pPr>
    </w:p>
    <w:p w14:paraId="00000009" w14:textId="77777777" w:rsidR="00987BEA" w:rsidRPr="00EF2AF6" w:rsidRDefault="00000000">
      <w:pPr>
        <w:jc w:val="both"/>
        <w:rPr>
          <w:rFonts w:ascii="Univers" w:eastAsia="Open Sans" w:hAnsi="Univers" w:cs="Open Sans"/>
          <w:sz w:val="20"/>
          <w:szCs w:val="20"/>
        </w:rPr>
      </w:pPr>
      <w:r w:rsidRPr="00EF2AF6">
        <w:rPr>
          <w:rFonts w:ascii="Univers" w:eastAsia="Open Sans" w:hAnsi="Univers" w:cs="Open Sans"/>
          <w:sz w:val="20"/>
          <w:szCs w:val="20"/>
        </w:rPr>
        <w:t>Disclosure within the Chamber is governed by accuracy, proportionality and timeliness. Information communicated externally must reflect the underlying governance record rather than a curated or promotional account of it. Disclosure must be proportionate to the audience and matters concerned — governance-level detail is not appropriate for public communication, while members are entitled to a fuller account of matters affecting their standing or participation. Timeliness requires that disclosures occur within a reasonable period of the underlying decision or activity, rather than being delayed until convenient.</w:t>
      </w:r>
    </w:p>
    <w:p w14:paraId="0000000A" w14:textId="77777777" w:rsidR="00987BEA" w:rsidRPr="00EF2AF6" w:rsidRDefault="00987BEA">
      <w:pPr>
        <w:jc w:val="both"/>
        <w:rPr>
          <w:rFonts w:ascii="Univers" w:eastAsia="Open Sans" w:hAnsi="Univers" w:cs="Open Sans"/>
          <w:b/>
          <w:bCs/>
          <w:sz w:val="20"/>
          <w:szCs w:val="20"/>
        </w:rPr>
      </w:pPr>
    </w:p>
    <w:p w14:paraId="0000000B" w14:textId="77777777" w:rsidR="00987BEA" w:rsidRPr="00EF2AF6" w:rsidRDefault="00000000">
      <w:pPr>
        <w:jc w:val="both"/>
        <w:rPr>
          <w:rFonts w:ascii="Univers" w:eastAsia="Open Sans" w:hAnsi="Univers" w:cs="Open Sans"/>
          <w:b/>
          <w:bCs/>
          <w:sz w:val="24"/>
          <w:szCs w:val="24"/>
        </w:rPr>
      </w:pPr>
      <w:r w:rsidRPr="00EF2AF6">
        <w:rPr>
          <w:rFonts w:ascii="Univers" w:eastAsia="Open Sans" w:hAnsi="Univers" w:cs="Open Sans"/>
          <w:b/>
          <w:bCs/>
          <w:sz w:val="24"/>
          <w:szCs w:val="24"/>
        </w:rPr>
        <w:t>3. What Must Be Disclosed</w:t>
      </w:r>
    </w:p>
    <w:p w14:paraId="0000000C" w14:textId="77777777" w:rsidR="00987BEA" w:rsidRPr="00EF2AF6" w:rsidRDefault="00987BEA">
      <w:pPr>
        <w:jc w:val="both"/>
        <w:rPr>
          <w:rFonts w:ascii="Univers" w:eastAsia="Open Sans" w:hAnsi="Univers" w:cs="Open Sans"/>
          <w:sz w:val="20"/>
          <w:szCs w:val="20"/>
        </w:rPr>
      </w:pPr>
    </w:p>
    <w:p w14:paraId="0000000D" w14:textId="77777777" w:rsidR="00987BEA" w:rsidRPr="00EF2AF6" w:rsidRDefault="00000000">
      <w:pPr>
        <w:jc w:val="both"/>
        <w:rPr>
          <w:rFonts w:ascii="Univers" w:eastAsia="Open Sans" w:hAnsi="Univers" w:cs="Open Sans"/>
          <w:sz w:val="20"/>
          <w:szCs w:val="20"/>
        </w:rPr>
      </w:pPr>
      <w:r w:rsidRPr="00EF2AF6">
        <w:rPr>
          <w:rFonts w:ascii="Univers" w:eastAsia="Open Sans" w:hAnsi="Univers" w:cs="Open Sans"/>
          <w:sz w:val="20"/>
          <w:szCs w:val="20"/>
        </w:rPr>
        <w:t>Certain categories of information carry a standing expectation of disclosure: governance decisions affecting membership standards, material changes to Chamber policy, and outcomes of programs and initiatives in which members participate. Other categories — including matters under active oversight review, confidential regulatory correspondence and information affecting individual members' standing — are subject to confidentiality safeguards and disclosed only to the extent consistent with the Chamber's other governance documents.</w:t>
      </w:r>
    </w:p>
    <w:p w14:paraId="0000000E" w14:textId="77777777" w:rsidR="00987BEA" w:rsidRPr="00EF2AF6" w:rsidRDefault="00987BEA">
      <w:pPr>
        <w:jc w:val="both"/>
        <w:rPr>
          <w:rFonts w:ascii="Univers" w:eastAsia="Open Sans" w:hAnsi="Univers" w:cs="Open Sans"/>
          <w:b/>
          <w:bCs/>
          <w:sz w:val="20"/>
          <w:szCs w:val="20"/>
        </w:rPr>
      </w:pPr>
    </w:p>
    <w:p w14:paraId="0000000F" w14:textId="77777777" w:rsidR="00987BEA" w:rsidRPr="00EF2AF6" w:rsidRDefault="00000000">
      <w:pPr>
        <w:jc w:val="both"/>
        <w:rPr>
          <w:rFonts w:ascii="Univers" w:eastAsia="Open Sans" w:hAnsi="Univers" w:cs="Open Sans"/>
          <w:b/>
          <w:bCs/>
          <w:sz w:val="24"/>
          <w:szCs w:val="24"/>
        </w:rPr>
      </w:pPr>
      <w:r w:rsidRPr="00EF2AF6">
        <w:rPr>
          <w:rFonts w:ascii="Univers" w:eastAsia="Open Sans" w:hAnsi="Univers" w:cs="Open Sans"/>
          <w:b/>
          <w:bCs/>
          <w:sz w:val="24"/>
          <w:szCs w:val="24"/>
        </w:rPr>
        <w:t>4. Communication Standards</w:t>
      </w:r>
    </w:p>
    <w:p w14:paraId="00000010" w14:textId="77777777" w:rsidR="00987BEA" w:rsidRPr="00EF2AF6" w:rsidRDefault="00987BEA">
      <w:pPr>
        <w:jc w:val="both"/>
        <w:rPr>
          <w:rFonts w:ascii="Univers" w:eastAsia="Open Sans" w:hAnsi="Univers" w:cs="Open Sans"/>
          <w:sz w:val="20"/>
          <w:szCs w:val="20"/>
        </w:rPr>
      </w:pPr>
    </w:p>
    <w:p w14:paraId="00000011" w14:textId="77777777" w:rsidR="00987BEA" w:rsidRPr="00EF2AF6" w:rsidRDefault="00000000">
      <w:pPr>
        <w:jc w:val="both"/>
        <w:rPr>
          <w:rFonts w:ascii="Univers" w:eastAsia="Open Sans" w:hAnsi="Univers" w:cs="Open Sans"/>
          <w:sz w:val="20"/>
          <w:szCs w:val="20"/>
        </w:rPr>
      </w:pPr>
      <w:r w:rsidRPr="00EF2AF6">
        <w:rPr>
          <w:rFonts w:ascii="Univers" w:eastAsia="Open Sans" w:hAnsi="Univers" w:cs="Open Sans"/>
          <w:sz w:val="20"/>
          <w:szCs w:val="20"/>
        </w:rPr>
        <w:t>All disclosures must originate through, or be authorised by, the Executive Secretariat's communication function, ensuring consistency of message and adherence to institutional standards. Individual representatives, whether from Leadership or the Secretariat, may not issue disclosures on the Chamber's behalf outside these channels.</w:t>
      </w:r>
    </w:p>
    <w:p w14:paraId="00000012" w14:textId="77777777" w:rsidR="00987BEA" w:rsidRPr="00EF2AF6" w:rsidRDefault="00987BEA">
      <w:pPr>
        <w:jc w:val="both"/>
        <w:rPr>
          <w:rFonts w:ascii="Univers" w:eastAsia="Open Sans" w:hAnsi="Univers" w:cs="Open Sans"/>
          <w:b/>
          <w:bCs/>
          <w:sz w:val="20"/>
          <w:szCs w:val="20"/>
        </w:rPr>
      </w:pPr>
    </w:p>
    <w:p w14:paraId="00000013" w14:textId="77777777" w:rsidR="00987BEA" w:rsidRPr="00EF2AF6" w:rsidRDefault="00000000">
      <w:pPr>
        <w:jc w:val="both"/>
        <w:rPr>
          <w:rFonts w:ascii="Univers" w:eastAsia="Open Sans" w:hAnsi="Univers" w:cs="Open Sans"/>
          <w:b/>
          <w:bCs/>
          <w:sz w:val="24"/>
          <w:szCs w:val="24"/>
        </w:rPr>
      </w:pPr>
      <w:r w:rsidRPr="00EF2AF6">
        <w:rPr>
          <w:rFonts w:ascii="Univers" w:eastAsia="Open Sans" w:hAnsi="Univers" w:cs="Open Sans"/>
          <w:b/>
          <w:bCs/>
          <w:sz w:val="24"/>
          <w:szCs w:val="24"/>
        </w:rPr>
        <w:t>5. Institutional Significance</w:t>
      </w:r>
    </w:p>
    <w:p w14:paraId="00000014" w14:textId="77777777" w:rsidR="00987BEA" w:rsidRPr="00EF2AF6" w:rsidRDefault="00987BEA">
      <w:pPr>
        <w:jc w:val="both"/>
        <w:rPr>
          <w:rFonts w:ascii="Univers" w:eastAsia="Open Sans" w:hAnsi="Univers" w:cs="Open Sans"/>
          <w:sz w:val="20"/>
          <w:szCs w:val="20"/>
        </w:rPr>
      </w:pPr>
    </w:p>
    <w:p w14:paraId="00000015" w14:textId="77777777" w:rsidR="00987BEA" w:rsidRPr="00EF2AF6" w:rsidRDefault="00000000">
      <w:pPr>
        <w:jc w:val="both"/>
        <w:rPr>
          <w:rFonts w:ascii="Univers" w:eastAsia="Open Sans" w:hAnsi="Univers" w:cs="Open Sans"/>
          <w:sz w:val="20"/>
          <w:szCs w:val="20"/>
        </w:rPr>
      </w:pPr>
      <w:r w:rsidRPr="00EF2AF6">
        <w:rPr>
          <w:rFonts w:ascii="Univers" w:eastAsia="Open Sans" w:hAnsi="Univers" w:cs="Open Sans"/>
          <w:sz w:val="20"/>
          <w:szCs w:val="20"/>
        </w:rPr>
        <w:t>Disclosure discipline distinguishes an institution that is genuinely accountable from one that merely claims to be. By committing to accurate, proportionate and timely communication, the Chamber ensures that its stated commitment to transparency is something members can verify rather than simply accept.</w:t>
      </w:r>
    </w:p>
    <w:p w14:paraId="00000016" w14:textId="77777777" w:rsidR="00987BEA" w:rsidRPr="00EF2AF6" w:rsidRDefault="00987BEA">
      <w:pPr>
        <w:jc w:val="both"/>
        <w:rPr>
          <w:rFonts w:ascii="Univers" w:eastAsia="Open Sans" w:hAnsi="Univers" w:cs="Open Sans"/>
          <w:sz w:val="20"/>
          <w:szCs w:val="20"/>
        </w:rPr>
      </w:pPr>
    </w:p>
    <w:sectPr w:rsidR="00987BEA" w:rsidRPr="00EF2AF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0810468-8DB1-43D9-8AEC-5B3E003C71D9}"/>
    <w:embedItalic r:id="rId2" w:fontKey="{7B70719B-28C3-4308-91D7-802B9DEEA284}"/>
  </w:font>
  <w:font w:name="Play">
    <w:charset w:val="00"/>
    <w:family w:val="auto"/>
    <w:pitch w:val="default"/>
    <w:embedRegular r:id="rId3" w:fontKey="{08C74BB1-19E0-423F-AB82-8E26456A4718}"/>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E8BD5C41-A3B0-457C-9105-F5AE9F24E717}"/>
    <w:embedBold r:id="rId5" w:fontKey="{FF4A4C65-CE2C-4009-A671-3149E26AA82D}"/>
  </w:font>
  <w:font w:name="Open Sans">
    <w:charset w:val="00"/>
    <w:family w:val="swiss"/>
    <w:pitch w:val="variable"/>
    <w:sig w:usb0="E00002EF" w:usb1="4000205B" w:usb2="00000028" w:usb3="00000000" w:csb0="0000019F" w:csb1="00000000"/>
    <w:embedRegular r:id="rId6" w:fontKey="{6418726B-5BB0-4295-B80E-569EB205593C}"/>
    <w:embedBold r:id="rId7" w:fontKey="{B057E356-BA1D-4AE0-BECB-CBD429F3E594}"/>
  </w:font>
  <w:font w:name="Calibri">
    <w:panose1 w:val="020F0502020204030204"/>
    <w:charset w:val="00"/>
    <w:family w:val="swiss"/>
    <w:pitch w:val="variable"/>
    <w:sig w:usb0="E4002EFF" w:usb1="C200247B" w:usb2="00000009" w:usb3="00000000" w:csb0="000001FF" w:csb1="00000000"/>
    <w:embedRegular r:id="rId8" w:fontKey="{4E90F92B-DA7D-4B4E-B226-65F0234FB16E}"/>
  </w:font>
  <w:font w:name="Cambria">
    <w:panose1 w:val="02040503050406030204"/>
    <w:charset w:val="00"/>
    <w:family w:val="roman"/>
    <w:pitch w:val="variable"/>
    <w:sig w:usb0="E00006FF" w:usb1="420024FF" w:usb2="02000000" w:usb3="00000000" w:csb0="0000019F" w:csb1="00000000"/>
    <w:embedRegular r:id="rId9" w:fontKey="{BB23E949-B44B-4562-8A7C-B315EB141E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BEA"/>
    <w:rsid w:val="00222F15"/>
    <w:rsid w:val="00987BEA"/>
    <w:rsid w:val="00EF2AF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36AD63-FBAD-4834-B7DD-2A3F5ECD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Nt2utFLQNL9inEBc9BWiegUcdw==">CgMxLjA4AHIhMXZMU2pQM1d0WmluLWxqWEVVTVAyMTI3dXdLMnp2YjFr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2093</Characters>
  <Application>Microsoft Office Word</Application>
  <DocSecurity>0</DocSecurity>
  <Lines>17</Lines>
  <Paragraphs>4</Paragraphs>
  <ScaleCrop>false</ScaleCrop>
  <Company>Department of Education</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2026-07-23T09:42:00Z</dcterms:created>
  <dcterms:modified xsi:type="dcterms:W3CDTF">2026-07-23T09:42:00Z</dcterms:modified>
</cp:coreProperties>
</file>