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7382F" w:rsidRPr="008F20E9" w:rsidRDefault="00000000">
      <w:pPr>
        <w:jc w:val="center"/>
        <w:rPr>
          <w:rFonts w:ascii="Univers" w:eastAsia="Open Sans" w:hAnsi="Univers" w:cs="Open Sans"/>
          <w:b/>
          <w:bCs/>
          <w:sz w:val="24"/>
          <w:szCs w:val="24"/>
        </w:rPr>
      </w:pPr>
      <w:r w:rsidRPr="008F20E9">
        <w:rPr>
          <w:rFonts w:ascii="Univers" w:eastAsia="Open Sans" w:hAnsi="Univers" w:cs="Open Sans"/>
          <w:b/>
          <w:bCs/>
          <w:sz w:val="24"/>
          <w:szCs w:val="24"/>
        </w:rPr>
        <w:t>PROGRAMS &amp; INITIATIVES</w:t>
      </w:r>
    </w:p>
    <w:p w14:paraId="00000002" w14:textId="77777777" w:rsidR="0027382F" w:rsidRPr="008F20E9" w:rsidRDefault="0027382F">
      <w:pPr>
        <w:rPr>
          <w:rFonts w:ascii="Univers" w:eastAsia="Open Sans" w:hAnsi="Univers" w:cs="Open Sans"/>
          <w:sz w:val="20"/>
          <w:szCs w:val="20"/>
        </w:rPr>
      </w:pPr>
    </w:p>
    <w:p w14:paraId="00000003" w14:textId="77777777" w:rsidR="0027382F" w:rsidRPr="008F20E9" w:rsidRDefault="00000000">
      <w:pPr>
        <w:jc w:val="both"/>
        <w:rPr>
          <w:rFonts w:ascii="Univers" w:eastAsia="Open Sans" w:hAnsi="Univers" w:cs="Open Sans"/>
          <w:b/>
          <w:bCs/>
          <w:sz w:val="20"/>
          <w:szCs w:val="20"/>
        </w:rPr>
      </w:pPr>
      <w:r w:rsidRPr="008F20E9">
        <w:rPr>
          <w:rFonts w:ascii="Univers" w:eastAsia="Open Sans" w:hAnsi="Univers" w:cs="Open Sans"/>
          <w:b/>
          <w:bCs/>
          <w:sz w:val="20"/>
          <w:szCs w:val="20"/>
        </w:rPr>
        <w:t>The World Economic Chamber's programs translate its institutional mandate into structured, substantive engagement across the areas of trade, investment, sustainable development, innovation and infrastructure that define contemporary cross-border economic activity.</w:t>
      </w:r>
    </w:p>
    <w:p w14:paraId="00000004" w14:textId="77777777" w:rsidR="0027382F" w:rsidRPr="008F20E9" w:rsidRDefault="0027382F">
      <w:pPr>
        <w:jc w:val="both"/>
        <w:rPr>
          <w:rFonts w:ascii="Univers" w:eastAsia="Open Sans" w:hAnsi="Univers" w:cs="Open Sans"/>
          <w:b/>
          <w:bCs/>
          <w:sz w:val="20"/>
          <w:szCs w:val="20"/>
        </w:rPr>
      </w:pPr>
    </w:p>
    <w:p w14:paraId="00000005" w14:textId="77777777" w:rsidR="0027382F" w:rsidRPr="008F20E9" w:rsidRDefault="00000000">
      <w:pPr>
        <w:jc w:val="both"/>
        <w:rPr>
          <w:rFonts w:ascii="Univers" w:eastAsia="Open Sans" w:hAnsi="Univers" w:cs="Open Sans"/>
          <w:b/>
          <w:bCs/>
          <w:sz w:val="24"/>
          <w:szCs w:val="24"/>
        </w:rPr>
      </w:pPr>
      <w:r w:rsidRPr="008F20E9">
        <w:rPr>
          <w:rFonts w:ascii="Univers" w:eastAsia="Open Sans" w:hAnsi="Univers" w:cs="Open Sans"/>
          <w:b/>
          <w:bCs/>
          <w:sz w:val="24"/>
          <w:szCs w:val="24"/>
        </w:rPr>
        <w:t>Cross</w:t>
      </w:r>
      <w:r w:rsidRPr="008F20E9">
        <w:rPr>
          <w:rFonts w:ascii="Cambria Math" w:eastAsia="Open Sans" w:hAnsi="Cambria Math" w:cs="Cambria Math"/>
          <w:b/>
          <w:bCs/>
          <w:sz w:val="24"/>
          <w:szCs w:val="24"/>
        </w:rPr>
        <w:t>‑</w:t>
      </w:r>
      <w:r w:rsidRPr="008F20E9">
        <w:rPr>
          <w:rFonts w:ascii="Univers" w:eastAsia="Open Sans" w:hAnsi="Univers" w:cs="Open Sans"/>
          <w:b/>
          <w:bCs/>
          <w:sz w:val="24"/>
          <w:szCs w:val="24"/>
        </w:rPr>
        <w:t>Border Trade Facilitation Programs</w:t>
      </w:r>
    </w:p>
    <w:p w14:paraId="00000006" w14:textId="77777777" w:rsidR="0027382F" w:rsidRPr="008F20E9" w:rsidRDefault="0027382F">
      <w:pPr>
        <w:jc w:val="both"/>
        <w:rPr>
          <w:rFonts w:ascii="Univers" w:eastAsia="Open Sans" w:hAnsi="Univers" w:cs="Open Sans"/>
          <w:sz w:val="20"/>
          <w:szCs w:val="20"/>
        </w:rPr>
      </w:pPr>
    </w:p>
    <w:p w14:paraId="00000007"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Cross-Border Trade Facilitation Programs address the practical and regulatory conditions that determine whether international trade can proceed efficiently, predictably and in a manner that respects the obligations of all parties involved. These programs reflect the Chamber's view that trade facilitation is not a technical afterthought to commercial activity, but a foundational condition for the kind of stable, long-term cross-border relationships the Chamber exists to support.</w:t>
      </w:r>
    </w:p>
    <w:p w14:paraId="00000008" w14:textId="77777777" w:rsidR="0027382F" w:rsidRPr="008F20E9" w:rsidRDefault="0027382F">
      <w:pPr>
        <w:jc w:val="both"/>
        <w:rPr>
          <w:rFonts w:ascii="Univers" w:eastAsia="Open Sans" w:hAnsi="Univers" w:cs="Open Sans"/>
          <w:sz w:val="20"/>
          <w:szCs w:val="20"/>
        </w:rPr>
      </w:pPr>
    </w:p>
    <w:p w14:paraId="00000009"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The Chamber's work in this area centres on identifying the regulatory, procedural and institutional frictions that most commonly impede cross-border trade, whether arising from documentation requirements, customs procedures, standards divergence or jurisdictional inconsistency. Rather than treating these frictions as fixed features of the trading environment, the Chamber approaches them as matters that can be clarified, and in some cases improved, through structured dialogue between the private sector, regulators and government bodies.</w:t>
      </w:r>
    </w:p>
    <w:p w14:paraId="0000000A" w14:textId="77777777" w:rsidR="0027382F" w:rsidRPr="008F20E9" w:rsidRDefault="0027382F">
      <w:pPr>
        <w:jc w:val="both"/>
        <w:rPr>
          <w:rFonts w:ascii="Univers" w:eastAsia="Open Sans" w:hAnsi="Univers" w:cs="Open Sans"/>
          <w:sz w:val="20"/>
          <w:szCs w:val="20"/>
        </w:rPr>
      </w:pPr>
    </w:p>
    <w:p w14:paraId="0000000B"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Programs in this area typically involve convening members with relevant trade exposure alongside government and regulatory counterparts, supported by the analytical work produced through the Chamber's research and intelligence function. This combination allows discussions to be grounded in an accurate understanding of current trade conditions rather than general commentary, consistent with the standard of rigour the Chamber applies across its policy-facing work.</w:t>
      </w:r>
    </w:p>
    <w:p w14:paraId="0000000C" w14:textId="77777777" w:rsidR="0027382F" w:rsidRPr="008F20E9" w:rsidRDefault="0027382F">
      <w:pPr>
        <w:jc w:val="both"/>
        <w:rPr>
          <w:rFonts w:ascii="Univers" w:eastAsia="Open Sans" w:hAnsi="Univers" w:cs="Open Sans"/>
          <w:sz w:val="20"/>
          <w:szCs w:val="20"/>
        </w:rPr>
      </w:pPr>
    </w:p>
    <w:p w14:paraId="0000000D"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Where trade facilitation work intersects with formal regulatory processes, engagement is conducted in accordance with the Chamber's Regulatory Engagement Standards and Cross-Jurisdictional Consultation &amp; Coordination Procedures, ensuring that any positions developed through these programs are consistent with the Chamber's broader institutional stance and appropriately coordinated across the jurisdictions concerned.</w:t>
      </w:r>
    </w:p>
    <w:p w14:paraId="0000000E" w14:textId="77777777" w:rsidR="0027382F" w:rsidRPr="008F20E9" w:rsidRDefault="0027382F">
      <w:pPr>
        <w:jc w:val="both"/>
        <w:rPr>
          <w:rFonts w:ascii="Univers" w:eastAsia="Open Sans" w:hAnsi="Univers" w:cs="Open Sans"/>
          <w:sz w:val="20"/>
          <w:szCs w:val="20"/>
        </w:rPr>
      </w:pPr>
    </w:p>
    <w:p w14:paraId="0000000F"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 xml:space="preserve">Member participation in trade facilitation programs is structured to reflect genuine commercial exposure to the issues under discussion, ensuring that engagement remains substantive and that outcomes are informed by the practical experience of organisations </w:t>
      </w:r>
      <w:proofErr w:type="gramStart"/>
      <w:r w:rsidRPr="008F20E9">
        <w:rPr>
          <w:rFonts w:ascii="Univers" w:eastAsia="Open Sans" w:hAnsi="Univers" w:cs="Open Sans"/>
          <w:sz w:val="20"/>
          <w:szCs w:val="20"/>
        </w:rPr>
        <w:t>actually operating</w:t>
      </w:r>
      <w:proofErr w:type="gramEnd"/>
      <w:r w:rsidRPr="008F20E9">
        <w:rPr>
          <w:rFonts w:ascii="Univers" w:eastAsia="Open Sans" w:hAnsi="Univers" w:cs="Open Sans"/>
          <w:sz w:val="20"/>
          <w:szCs w:val="20"/>
        </w:rPr>
        <w:t xml:space="preserve"> within the trade flows concerned. The Chamber's role throughout is to provide the institutional structure, neutrality and continuity required for this kind of cross-border dialogue to develop into meaningful, durable improvement in the conditions supporting international trade.</w:t>
      </w:r>
    </w:p>
    <w:p w14:paraId="00000010" w14:textId="77777777" w:rsidR="0027382F" w:rsidRPr="008F20E9" w:rsidRDefault="0027382F">
      <w:pPr>
        <w:jc w:val="both"/>
        <w:rPr>
          <w:rFonts w:ascii="Univers" w:eastAsia="Open Sans" w:hAnsi="Univers" w:cs="Open Sans"/>
          <w:b/>
          <w:bCs/>
          <w:sz w:val="20"/>
          <w:szCs w:val="20"/>
        </w:rPr>
      </w:pPr>
    </w:p>
    <w:p w14:paraId="00000011" w14:textId="77777777" w:rsidR="0027382F" w:rsidRPr="008F20E9" w:rsidRDefault="00000000">
      <w:pPr>
        <w:jc w:val="both"/>
        <w:rPr>
          <w:rFonts w:ascii="Univers" w:eastAsia="Open Sans" w:hAnsi="Univers" w:cs="Open Sans"/>
          <w:b/>
          <w:bCs/>
          <w:sz w:val="24"/>
          <w:szCs w:val="24"/>
        </w:rPr>
      </w:pPr>
      <w:r w:rsidRPr="008F20E9">
        <w:rPr>
          <w:rFonts w:ascii="Univers" w:eastAsia="Open Sans" w:hAnsi="Univers" w:cs="Open Sans"/>
          <w:b/>
          <w:bCs/>
          <w:sz w:val="24"/>
          <w:szCs w:val="24"/>
        </w:rPr>
        <w:t>Investment &amp; Market Access Initiatives</w:t>
      </w:r>
    </w:p>
    <w:p w14:paraId="00000012" w14:textId="77777777" w:rsidR="0027382F" w:rsidRPr="008F20E9" w:rsidRDefault="0027382F">
      <w:pPr>
        <w:jc w:val="both"/>
        <w:rPr>
          <w:rFonts w:ascii="Univers" w:eastAsia="Open Sans" w:hAnsi="Univers" w:cs="Open Sans"/>
          <w:sz w:val="20"/>
          <w:szCs w:val="20"/>
        </w:rPr>
      </w:pPr>
    </w:p>
    <w:p w14:paraId="00000013"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Investment &amp; Market Access Initiatives address the conditions that shape cross-border capital flows and the ability of organisations to enter, operate within and expand across international markets. These initiatives recognise that investment decisions of institutional significance depend not only on commercial opportunity, but on the clarity, stability and predictability of the regulatory environments in which that opportunity exists.</w:t>
      </w:r>
    </w:p>
    <w:p w14:paraId="00000014" w14:textId="77777777" w:rsidR="0027382F" w:rsidRPr="008F20E9" w:rsidRDefault="0027382F">
      <w:pPr>
        <w:jc w:val="both"/>
        <w:rPr>
          <w:rFonts w:ascii="Univers" w:eastAsia="Open Sans" w:hAnsi="Univers" w:cs="Open Sans"/>
          <w:sz w:val="20"/>
          <w:szCs w:val="20"/>
        </w:rPr>
      </w:pPr>
    </w:p>
    <w:p w14:paraId="00000015"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 xml:space="preserve">The Chamber's work in this area focuses on improving the quality of information and dialogue available to organisations considering cross-border investment, and on providing a structured channel through which market access concerns can be raised with the regulatory and government bodies responsible for the conditions that shape them. This reflects the Chamber's </w:t>
      </w:r>
      <w:r w:rsidRPr="008F20E9">
        <w:rPr>
          <w:rFonts w:ascii="Univers" w:eastAsia="Open Sans" w:hAnsi="Univers" w:cs="Open Sans"/>
          <w:sz w:val="20"/>
          <w:szCs w:val="20"/>
        </w:rPr>
        <w:lastRenderedPageBreak/>
        <w:t>broader institutional role: not to advocate for particular investment outcomes, but to strengthen the conditions under which sound investment decisions can be made and pursued responsibly.</w:t>
      </w:r>
    </w:p>
    <w:p w14:paraId="00000016" w14:textId="77777777" w:rsidR="0027382F" w:rsidRPr="008F20E9" w:rsidRDefault="0027382F">
      <w:pPr>
        <w:jc w:val="both"/>
        <w:rPr>
          <w:rFonts w:ascii="Univers" w:eastAsia="Open Sans" w:hAnsi="Univers" w:cs="Open Sans"/>
          <w:sz w:val="20"/>
          <w:szCs w:val="20"/>
        </w:rPr>
      </w:pPr>
    </w:p>
    <w:p w14:paraId="00000017"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Initiatives in this area draw on the Chamber's research and intelligence capabilities, including market outlook and sector briefings, to ensure that discussions of investment conditions and market access barriers are grounded in current, verified analysis rather than assumption. Where a market access concern is identified that touches on regulatory policy, the matter is addressed through the Chamber's established Regulatory Engagement Standards, ensuring that any Chamber position is developed with appropriate rigour and authorisation.</w:t>
      </w:r>
    </w:p>
    <w:p w14:paraId="00000018" w14:textId="77777777" w:rsidR="0027382F" w:rsidRPr="008F20E9" w:rsidRDefault="0027382F">
      <w:pPr>
        <w:jc w:val="both"/>
        <w:rPr>
          <w:rFonts w:ascii="Univers" w:eastAsia="Open Sans" w:hAnsi="Univers" w:cs="Open Sans"/>
          <w:sz w:val="20"/>
          <w:szCs w:val="20"/>
        </w:rPr>
      </w:pPr>
    </w:p>
    <w:p w14:paraId="00000019"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The Chamber also facilitates structured engagement between members considering entry into new markets and institutional or government counterparts within those markets, supporting a more informed and better-coordinated approach to market entry than would typically be available to an individual organisation acting alone. This engagement is conducted consistent with the Cross-Border Engagement Standards, respecting the regulatory and institutional norms of each jurisdiction involved.</w:t>
      </w:r>
    </w:p>
    <w:p w14:paraId="0000001A" w14:textId="77777777" w:rsidR="0027382F" w:rsidRPr="008F20E9" w:rsidRDefault="0027382F">
      <w:pPr>
        <w:jc w:val="both"/>
        <w:rPr>
          <w:rFonts w:ascii="Univers" w:eastAsia="Open Sans" w:hAnsi="Univers" w:cs="Open Sans"/>
          <w:sz w:val="20"/>
          <w:szCs w:val="20"/>
        </w:rPr>
      </w:pPr>
    </w:p>
    <w:p w14:paraId="0000001B"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Investment &amp; Market Access Initiatives are developed and reviewed on an ongoing basis, reflecting the Chamber's recognition that market conditions evolve, and that its role in supporting responsible cross-border investment requires sustained attention rather than a fixed or static program of activity.</w:t>
      </w:r>
    </w:p>
    <w:p w14:paraId="0000001C" w14:textId="77777777" w:rsidR="0027382F" w:rsidRPr="008F20E9" w:rsidRDefault="0027382F">
      <w:pPr>
        <w:jc w:val="both"/>
        <w:rPr>
          <w:rFonts w:ascii="Univers" w:eastAsia="Open Sans" w:hAnsi="Univers" w:cs="Open Sans"/>
          <w:b/>
          <w:bCs/>
          <w:sz w:val="20"/>
          <w:szCs w:val="20"/>
        </w:rPr>
      </w:pPr>
    </w:p>
    <w:p w14:paraId="0000001D" w14:textId="77777777" w:rsidR="0027382F" w:rsidRPr="008F20E9" w:rsidRDefault="00000000">
      <w:pPr>
        <w:jc w:val="both"/>
        <w:rPr>
          <w:rFonts w:ascii="Univers" w:eastAsia="Open Sans" w:hAnsi="Univers" w:cs="Open Sans"/>
          <w:b/>
          <w:bCs/>
          <w:sz w:val="24"/>
          <w:szCs w:val="24"/>
        </w:rPr>
      </w:pPr>
      <w:r w:rsidRPr="008F20E9">
        <w:rPr>
          <w:rFonts w:ascii="Univers" w:eastAsia="Open Sans" w:hAnsi="Univers" w:cs="Open Sans"/>
          <w:b/>
          <w:bCs/>
          <w:sz w:val="24"/>
          <w:szCs w:val="24"/>
        </w:rPr>
        <w:t>Sustainable Development &amp; ESG Collaboration</w:t>
      </w:r>
    </w:p>
    <w:p w14:paraId="0000001E" w14:textId="77777777" w:rsidR="0027382F" w:rsidRPr="008F20E9" w:rsidRDefault="0027382F">
      <w:pPr>
        <w:jc w:val="both"/>
        <w:rPr>
          <w:rFonts w:ascii="Univers" w:eastAsia="Open Sans" w:hAnsi="Univers" w:cs="Open Sans"/>
          <w:sz w:val="20"/>
          <w:szCs w:val="20"/>
        </w:rPr>
      </w:pPr>
    </w:p>
    <w:p w14:paraId="0000001F"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Sustainable Development &amp; ESG Collaboration reflects the Chamber's recognition that responsible cross-border economic activity cannot be considered separately from its environmental, social and governance implications. This area of the Chamber's work provides a structured setting in which members, government bodies and civil society organisations can engage substantively with the sustainability dimensions of international commerce.</w:t>
      </w:r>
    </w:p>
    <w:p w14:paraId="00000020" w14:textId="77777777" w:rsidR="0027382F" w:rsidRPr="008F20E9" w:rsidRDefault="0027382F">
      <w:pPr>
        <w:jc w:val="both"/>
        <w:rPr>
          <w:rFonts w:ascii="Univers" w:eastAsia="Open Sans" w:hAnsi="Univers" w:cs="Open Sans"/>
          <w:sz w:val="20"/>
          <w:szCs w:val="20"/>
        </w:rPr>
      </w:pPr>
    </w:p>
    <w:p w14:paraId="00000021"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The Chamber's approach to this area is grounded in its founding commitment to long-term economic stewardship, understanding sustainability not as a separate or peripheral concern, but as an integral consideration in how cross-border business relationships are structured and sustained over time. Programs in this area address the practical challenges organisations face in aligning cross-border operations with evolving ESG expectations, regulatory requirements and stakeholder standards across multiple jurisdictions simultaneously.</w:t>
      </w:r>
    </w:p>
    <w:p w14:paraId="00000022" w14:textId="77777777" w:rsidR="0027382F" w:rsidRPr="008F20E9" w:rsidRDefault="0027382F">
      <w:pPr>
        <w:jc w:val="both"/>
        <w:rPr>
          <w:rFonts w:ascii="Univers" w:eastAsia="Open Sans" w:hAnsi="Univers" w:cs="Open Sans"/>
          <w:sz w:val="20"/>
          <w:szCs w:val="20"/>
        </w:rPr>
      </w:pPr>
    </w:p>
    <w:p w14:paraId="00000023"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Collaboration is structured around specific areas of shared relevance to members, including supply-chain accountability, environmental standards in cross-border investment, and the governance expectations increasingly attached to international commercial activity. Rather than promoting a single standardised approach, the Chamber's role is to provide a forum in which the practical realities of implementing ESG commitments across diverse regulatory environments can be discussed candidly, drawing on the direct experience of participating organisations.</w:t>
      </w:r>
    </w:p>
    <w:p w14:paraId="00000024" w14:textId="77777777" w:rsidR="0027382F" w:rsidRPr="008F20E9" w:rsidRDefault="0027382F">
      <w:pPr>
        <w:jc w:val="both"/>
        <w:rPr>
          <w:rFonts w:ascii="Univers" w:eastAsia="Open Sans" w:hAnsi="Univers" w:cs="Open Sans"/>
          <w:sz w:val="20"/>
          <w:szCs w:val="20"/>
        </w:rPr>
      </w:pPr>
    </w:p>
    <w:p w14:paraId="00000025"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The Chamber's NGO members contribute a particular perspective to this area of work, reflecting the Chamber's broader institutional view that credible engagement with sustainable development requires the presence of organisations whose mandate is not primarily commercial. This cross-sector composition is treated as essential to the integrity of the Chamber's ESG collaboration, rather than incidental to it.</w:t>
      </w:r>
    </w:p>
    <w:p w14:paraId="00000026" w14:textId="77777777" w:rsidR="0027382F" w:rsidRPr="008F20E9" w:rsidRDefault="0027382F">
      <w:pPr>
        <w:jc w:val="both"/>
        <w:rPr>
          <w:rFonts w:ascii="Univers" w:eastAsia="Open Sans" w:hAnsi="Univers" w:cs="Open Sans"/>
          <w:sz w:val="20"/>
          <w:szCs w:val="20"/>
        </w:rPr>
      </w:pPr>
    </w:p>
    <w:p w14:paraId="00000027"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 xml:space="preserve">Where sustainable development work intersects with policy or regulatory matters, it is conducted in accordance with the Chamber's Regulatory Engagement Standards and Cross-Jurisdictional Consultation &amp; Coordination Procedures, ensuring consistency with the Chamber's broader institutional positions. The Chamber's research and intelligence function supports this work by tracking developments in sustainability standards and reporting requirements relevant to </w:t>
      </w:r>
      <w:r w:rsidRPr="008F20E9">
        <w:rPr>
          <w:rFonts w:ascii="Univers" w:eastAsia="Open Sans" w:hAnsi="Univers" w:cs="Open Sans"/>
          <w:sz w:val="20"/>
          <w:szCs w:val="20"/>
        </w:rPr>
        <w:lastRenderedPageBreak/>
        <w:t>members operating across borders, providing an evidentiary basis for the collaboration this area is intended to support.</w:t>
      </w:r>
    </w:p>
    <w:p w14:paraId="00000028" w14:textId="77777777" w:rsidR="0027382F" w:rsidRPr="008F20E9" w:rsidRDefault="0027382F">
      <w:pPr>
        <w:jc w:val="both"/>
        <w:rPr>
          <w:rFonts w:ascii="Univers" w:eastAsia="Open Sans" w:hAnsi="Univers" w:cs="Open Sans"/>
          <w:b/>
          <w:bCs/>
          <w:sz w:val="20"/>
          <w:szCs w:val="20"/>
        </w:rPr>
      </w:pPr>
    </w:p>
    <w:p w14:paraId="00000029" w14:textId="77777777" w:rsidR="0027382F" w:rsidRPr="008F20E9" w:rsidRDefault="00000000">
      <w:pPr>
        <w:jc w:val="both"/>
        <w:rPr>
          <w:rFonts w:ascii="Univers" w:eastAsia="Open Sans" w:hAnsi="Univers" w:cs="Open Sans"/>
          <w:b/>
          <w:bCs/>
          <w:sz w:val="24"/>
          <w:szCs w:val="24"/>
        </w:rPr>
      </w:pPr>
      <w:r w:rsidRPr="008F20E9">
        <w:rPr>
          <w:rFonts w:ascii="Univers" w:eastAsia="Open Sans" w:hAnsi="Univers" w:cs="Open Sans"/>
          <w:b/>
          <w:bCs/>
          <w:sz w:val="24"/>
          <w:szCs w:val="24"/>
        </w:rPr>
        <w:t>Innovation, Technology &amp; Digital Economy Programs</w:t>
      </w:r>
    </w:p>
    <w:p w14:paraId="0000002A" w14:textId="77777777" w:rsidR="0027382F" w:rsidRPr="008F20E9" w:rsidRDefault="0027382F">
      <w:pPr>
        <w:jc w:val="both"/>
        <w:rPr>
          <w:rFonts w:ascii="Univers" w:eastAsia="Open Sans" w:hAnsi="Univers" w:cs="Open Sans"/>
          <w:sz w:val="20"/>
          <w:szCs w:val="20"/>
        </w:rPr>
      </w:pPr>
    </w:p>
    <w:p w14:paraId="0000002B"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Innovation, Technology &amp; Digital Economy Programs address the economic and regulatory questions raised by the accelerating role of technology in cross-border commerce, including digital trade, data governance and the broader transformation of how international business is conducted. These programs reflect the Chamber's recognition that technological change increasingly shapes the regulatory and institutional environment in which all its other programs operate.</w:t>
      </w:r>
    </w:p>
    <w:p w14:paraId="0000002C" w14:textId="77777777" w:rsidR="0027382F" w:rsidRPr="008F20E9" w:rsidRDefault="0027382F">
      <w:pPr>
        <w:jc w:val="both"/>
        <w:rPr>
          <w:rFonts w:ascii="Univers" w:eastAsia="Open Sans" w:hAnsi="Univers" w:cs="Open Sans"/>
          <w:sz w:val="20"/>
          <w:szCs w:val="20"/>
        </w:rPr>
      </w:pPr>
    </w:p>
    <w:p w14:paraId="0000002D"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The Chamber's approach to this area focuses on the intersection between technological change and the conditions required for responsible cross-border activity, rather than on technology as a subject in isolation. This includes examining how digital trade frameworks, data protection requirements and emerging regulatory approaches to technology vary across jurisdictions, and what this variation means for organisations seeking to operate consistently across borders.</w:t>
      </w:r>
    </w:p>
    <w:p w14:paraId="0000002E" w14:textId="77777777" w:rsidR="0027382F" w:rsidRPr="008F20E9" w:rsidRDefault="0027382F">
      <w:pPr>
        <w:jc w:val="both"/>
        <w:rPr>
          <w:rFonts w:ascii="Univers" w:eastAsia="Open Sans" w:hAnsi="Univers" w:cs="Open Sans"/>
          <w:sz w:val="20"/>
          <w:szCs w:val="20"/>
        </w:rPr>
      </w:pPr>
    </w:p>
    <w:p w14:paraId="0000002F"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Programs in this area provide a structured setting in which members can engage with the practical and regulatory implications of digital transformation, supported by the analytical work of the Chamber's research and intelligence function. Given the pace at which technology-related regulation continues to develop across jurisdictions, this analytical foundation is treated as particularly important to ensure that discussions remain grounded in current conditions rather than outdated assumptions.</w:t>
      </w:r>
    </w:p>
    <w:p w14:paraId="00000030" w14:textId="77777777" w:rsidR="0027382F" w:rsidRPr="008F20E9" w:rsidRDefault="0027382F">
      <w:pPr>
        <w:jc w:val="both"/>
        <w:rPr>
          <w:rFonts w:ascii="Univers" w:eastAsia="Open Sans" w:hAnsi="Univers" w:cs="Open Sans"/>
          <w:sz w:val="20"/>
          <w:szCs w:val="20"/>
        </w:rPr>
      </w:pPr>
    </w:p>
    <w:p w14:paraId="00000031"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Where innovation and technology programs intersect with regulatory matters, whether concerning data governance, digital trade rules or emerging technology standards, engagement is conducted consistent with the Chamber's Regulatory Engagement Standards, recognising that this is an area of active and often divergent regulatory development across jurisdictions.</w:t>
      </w:r>
    </w:p>
    <w:p w14:paraId="00000032" w14:textId="77777777" w:rsidR="0027382F" w:rsidRPr="008F20E9" w:rsidRDefault="0027382F">
      <w:pPr>
        <w:jc w:val="both"/>
        <w:rPr>
          <w:rFonts w:ascii="Univers" w:eastAsia="Open Sans" w:hAnsi="Univers" w:cs="Open Sans"/>
          <w:sz w:val="20"/>
          <w:szCs w:val="20"/>
        </w:rPr>
      </w:pPr>
    </w:p>
    <w:p w14:paraId="00000036" w14:textId="67B51D9D"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The Chamber also views this area as an opportunity to strengthen dialogue between members whose operations are shaped by digital transformation and the regulatory and government bodies responsible for the frameworks governing it, providing a structured channel through which practical experience can inform the development of more coherent and workable regulatory approaches. This work is conducted with the same institutional discipline and neutrality applied across the Chamber's other programs, ensuring that engagement on innovation and technology questions strengthens, rather than compromises, the Chamber's broader credibility.</w:t>
      </w:r>
    </w:p>
    <w:p w14:paraId="00000037" w14:textId="77777777" w:rsidR="0027382F" w:rsidRPr="008F20E9" w:rsidRDefault="0027382F">
      <w:pPr>
        <w:jc w:val="both"/>
        <w:rPr>
          <w:rFonts w:ascii="Univers" w:eastAsia="Open Sans" w:hAnsi="Univers" w:cs="Open Sans"/>
          <w:b/>
          <w:bCs/>
          <w:sz w:val="20"/>
          <w:szCs w:val="20"/>
        </w:rPr>
      </w:pPr>
    </w:p>
    <w:p w14:paraId="00000038" w14:textId="77777777" w:rsidR="0027382F" w:rsidRPr="008F20E9" w:rsidRDefault="00000000">
      <w:pPr>
        <w:jc w:val="both"/>
        <w:rPr>
          <w:rFonts w:ascii="Univers" w:eastAsia="Open Sans" w:hAnsi="Univers" w:cs="Open Sans"/>
          <w:b/>
          <w:bCs/>
          <w:sz w:val="24"/>
          <w:szCs w:val="24"/>
        </w:rPr>
      </w:pPr>
      <w:r w:rsidRPr="008F20E9">
        <w:rPr>
          <w:rFonts w:ascii="Univers" w:eastAsia="Open Sans" w:hAnsi="Univers" w:cs="Open Sans"/>
          <w:b/>
          <w:bCs/>
          <w:sz w:val="24"/>
          <w:szCs w:val="24"/>
        </w:rPr>
        <w:t>Infrastructure &amp; Strategic Industries Forum</w:t>
      </w:r>
    </w:p>
    <w:p w14:paraId="00000039" w14:textId="77777777" w:rsidR="0027382F" w:rsidRPr="008F20E9" w:rsidRDefault="0027382F">
      <w:pPr>
        <w:jc w:val="both"/>
        <w:rPr>
          <w:rFonts w:ascii="Univers" w:eastAsia="Open Sans" w:hAnsi="Univers" w:cs="Open Sans"/>
          <w:sz w:val="20"/>
          <w:szCs w:val="20"/>
        </w:rPr>
      </w:pPr>
    </w:p>
    <w:p w14:paraId="0000003A"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The Infrastructure &amp; Strategic Industries Forum provides a structured setting for engagement on the economic, regulatory and cross-border dimensions of infrastructure development and the industries considered strategically significant to national and regional economic stability. This area of the Chamber's work recognises that infrastructure and strategic industries present distinct challenges compared to other areas of cross-border commerce, given the scale of capital involved, the extended timeframes typical of such projects, and the heightened degree of government and regulatory involvement they attract.</w:t>
      </w:r>
    </w:p>
    <w:p w14:paraId="0000003B" w14:textId="77777777" w:rsidR="0027382F" w:rsidRPr="008F20E9" w:rsidRDefault="0027382F">
      <w:pPr>
        <w:jc w:val="both"/>
        <w:rPr>
          <w:rFonts w:ascii="Univers" w:eastAsia="Open Sans" w:hAnsi="Univers" w:cs="Open Sans"/>
          <w:sz w:val="20"/>
          <w:szCs w:val="20"/>
        </w:rPr>
      </w:pPr>
    </w:p>
    <w:p w14:paraId="0000003C"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The Forum brings together members with direct exposure to infrastructure and strategic industry activity, alongside government bodies and institutional counterparts whose participation reflects the public-interest dimension inherent in projects of this nature. This composition allows discussion to proceed with an understanding of both the commercial and public policy considerations that shape infrastructure development across borders.</w:t>
      </w:r>
    </w:p>
    <w:p w14:paraId="0000003D" w14:textId="77777777" w:rsidR="0027382F" w:rsidRPr="008F20E9" w:rsidRDefault="0027382F">
      <w:pPr>
        <w:jc w:val="both"/>
        <w:rPr>
          <w:rFonts w:ascii="Univers" w:eastAsia="Open Sans" w:hAnsi="Univers" w:cs="Open Sans"/>
          <w:sz w:val="20"/>
          <w:szCs w:val="20"/>
        </w:rPr>
      </w:pPr>
    </w:p>
    <w:p w14:paraId="0000003E"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lastRenderedPageBreak/>
        <w:t xml:space="preserve">Given the sensitivity often attached to strategic industries, engagement conducted through this Forum places particular emphasis on the Chamber's institutional neutrality and jurisdictional respect, consistent with the Cross-Border Engagement Standards and the Institutional Independence &amp; Neutrality Policy. The Chamber's role is to provide a credible, disciplined setting for dialogue on matters that frequently intersect with national interest, rather than to advocate for </w:t>
      </w:r>
      <w:proofErr w:type="gramStart"/>
      <w:r w:rsidRPr="008F20E9">
        <w:rPr>
          <w:rFonts w:ascii="Univers" w:eastAsia="Open Sans" w:hAnsi="Univers" w:cs="Open Sans"/>
          <w:sz w:val="20"/>
          <w:szCs w:val="20"/>
        </w:rPr>
        <w:t>particular commercial</w:t>
      </w:r>
      <w:proofErr w:type="gramEnd"/>
      <w:r w:rsidRPr="008F20E9">
        <w:rPr>
          <w:rFonts w:ascii="Univers" w:eastAsia="Open Sans" w:hAnsi="Univers" w:cs="Open Sans"/>
          <w:sz w:val="20"/>
          <w:szCs w:val="20"/>
        </w:rPr>
        <w:t xml:space="preserve"> or industrial outcomes.</w:t>
      </w:r>
    </w:p>
    <w:p w14:paraId="0000003F" w14:textId="77777777" w:rsidR="0027382F" w:rsidRPr="008F20E9" w:rsidRDefault="0027382F">
      <w:pPr>
        <w:jc w:val="both"/>
        <w:rPr>
          <w:rFonts w:ascii="Univers" w:eastAsia="Open Sans" w:hAnsi="Univers" w:cs="Open Sans"/>
          <w:sz w:val="20"/>
          <w:szCs w:val="20"/>
        </w:rPr>
      </w:pPr>
    </w:p>
    <w:p w14:paraId="00000040"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The Forum's work draws on the Chamber's research and intelligence function to ground discussions of infrastructure financing, cross-border project development and strategic industry conditions in current market and regulatory analysis. This is particularly important in an area where project viability often depends on a precise understanding of the regulatory and institutional conditions across each jurisdiction involved.</w:t>
      </w:r>
    </w:p>
    <w:p w14:paraId="00000041" w14:textId="77777777" w:rsidR="0027382F" w:rsidRPr="008F20E9" w:rsidRDefault="0027382F">
      <w:pPr>
        <w:jc w:val="both"/>
        <w:rPr>
          <w:rFonts w:ascii="Univers" w:eastAsia="Open Sans" w:hAnsi="Univers" w:cs="Open Sans"/>
          <w:sz w:val="20"/>
          <w:szCs w:val="20"/>
        </w:rPr>
      </w:pPr>
    </w:p>
    <w:p w14:paraId="00000042" w14:textId="77777777" w:rsidR="0027382F" w:rsidRPr="008F20E9" w:rsidRDefault="00000000">
      <w:pPr>
        <w:jc w:val="both"/>
        <w:rPr>
          <w:rFonts w:ascii="Univers" w:eastAsia="Open Sans" w:hAnsi="Univers" w:cs="Open Sans"/>
          <w:sz w:val="20"/>
          <w:szCs w:val="20"/>
        </w:rPr>
      </w:pPr>
      <w:r w:rsidRPr="008F20E9">
        <w:rPr>
          <w:rFonts w:ascii="Univers" w:eastAsia="Open Sans" w:hAnsi="Univers" w:cs="Open Sans"/>
          <w:sz w:val="20"/>
          <w:szCs w:val="20"/>
        </w:rPr>
        <w:t>Where Forum discussions touch on formal regulatory or government engagement, they are conducted in accordance with the Chamber's Regulatory Engagement Standards and International Liaison &amp; Government Relations procedures, ensuring that the Chamber's involvement in matters of strategic and infrastructural significance is conducted with the rigour, discretion and institutional discipline such matters require.</w:t>
      </w:r>
    </w:p>
    <w:p w14:paraId="00000043" w14:textId="77777777" w:rsidR="0027382F" w:rsidRPr="008F20E9" w:rsidRDefault="0027382F">
      <w:pPr>
        <w:rPr>
          <w:rFonts w:ascii="Univers" w:eastAsia="Open Sans" w:hAnsi="Univers" w:cs="Open Sans"/>
          <w:sz w:val="20"/>
          <w:szCs w:val="20"/>
        </w:rPr>
      </w:pPr>
    </w:p>
    <w:sectPr w:rsidR="0027382F" w:rsidRPr="008F20E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E6CBD5AE-13EC-4A79-8A3A-325D406FB013}"/>
    <w:embedItalic r:id="rId2" w:fontKey="{8E7995C2-B52F-4F16-B333-AEFC371FA241}"/>
  </w:font>
  <w:font w:name="Play">
    <w:charset w:val="00"/>
    <w:family w:val="auto"/>
    <w:pitch w:val="default"/>
    <w:embedRegular r:id="rId3" w:fontKey="{5B401131-9A86-42A8-8469-CE6B104D5035}"/>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45E82455-9F55-4B39-96DE-85FB1E63098D}"/>
    <w:embedBold r:id="rId5" w:fontKey="{66089F37-270A-42BC-8429-C832F2F62558}"/>
  </w:font>
  <w:font w:name="Open Sans">
    <w:charset w:val="00"/>
    <w:family w:val="swiss"/>
    <w:pitch w:val="variable"/>
    <w:sig w:usb0="E00002EF" w:usb1="4000205B" w:usb2="00000028" w:usb3="00000000" w:csb0="0000019F" w:csb1="00000000"/>
    <w:embedRegular r:id="rId6" w:fontKey="{2792472A-9BE6-4F7B-B969-DBFA82C42455}"/>
    <w:embedBold r:id="rId7" w:fontKey="{2BF074CF-47E3-4AF3-804A-99014F9762C5}"/>
  </w:font>
  <w:font w:name="Cambria Math">
    <w:panose1 w:val="02040503050406030204"/>
    <w:charset w:val="00"/>
    <w:family w:val="roman"/>
    <w:pitch w:val="variable"/>
    <w:sig w:usb0="E00006FF" w:usb1="420024FF" w:usb2="02000000" w:usb3="00000000" w:csb0="0000019F" w:csb1="00000000"/>
    <w:embedBold r:id="rId8" w:fontKey="{D287E95F-10EB-4C56-ABC1-4D4BE08B191A}"/>
  </w:font>
  <w:font w:name="Calibri">
    <w:panose1 w:val="020F0502020204030204"/>
    <w:charset w:val="00"/>
    <w:family w:val="swiss"/>
    <w:pitch w:val="variable"/>
    <w:sig w:usb0="E4002EFF" w:usb1="C200247B" w:usb2="00000009" w:usb3="00000000" w:csb0="000001FF" w:csb1="00000000"/>
    <w:embedRegular r:id="rId9" w:fontKey="{87A66F9A-D9EB-400F-B4CC-34BA7304E53E}"/>
  </w:font>
  <w:font w:name="Cambria">
    <w:panose1 w:val="02040503050406030204"/>
    <w:charset w:val="00"/>
    <w:family w:val="roman"/>
    <w:pitch w:val="variable"/>
    <w:sig w:usb0="E00006FF" w:usb1="420024FF" w:usb2="02000000" w:usb3="00000000" w:csb0="0000019F" w:csb1="00000000"/>
    <w:embedRegular r:id="rId10" w:fontKey="{6CB24896-99B5-4B26-91A9-7B4F8698283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82F"/>
    <w:rsid w:val="0027382F"/>
    <w:rsid w:val="00836FD7"/>
    <w:rsid w:val="008F20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83EFC"/>
  <w15:docId w15:val="{47D09F41-0BEF-430D-8191-ED43DC512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kKlBq6fny0BAVIYXvi9cUeR8Kg==">CgMxLjA4AHIhMVNSeW1nUjJ6Y2VFTDFLQmNFbHVYNERGSEpWSllkNW5T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1893</Words>
  <Characters>10791</Characters>
  <Application>Microsoft Office Word</Application>
  <DocSecurity>0</DocSecurity>
  <Lines>89</Lines>
  <Paragraphs>25</Paragraphs>
  <ScaleCrop>false</ScaleCrop>
  <Company>Department of Education</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2026-07-23T09:45:00Z</dcterms:created>
  <dcterms:modified xsi:type="dcterms:W3CDTF">2026-07-23T09:46:00Z</dcterms:modified>
</cp:coreProperties>
</file>