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54C5" w:rsidRPr="00462ADE" w:rsidRDefault="00000000">
      <w:pPr>
        <w:jc w:val="center"/>
        <w:rPr>
          <w:rFonts w:ascii="Univers" w:eastAsia="Open Sans" w:hAnsi="Univers" w:cs="Open Sans"/>
          <w:b/>
          <w:bCs/>
          <w:sz w:val="24"/>
          <w:szCs w:val="24"/>
        </w:rPr>
      </w:pPr>
      <w:r w:rsidRPr="00462ADE">
        <w:rPr>
          <w:rFonts w:ascii="Univers" w:eastAsia="Open Sans" w:hAnsi="Univers" w:cs="Open Sans"/>
          <w:b/>
          <w:bCs/>
          <w:sz w:val="24"/>
          <w:szCs w:val="24"/>
        </w:rPr>
        <w:t>POLICY AND ADVOCACY</w:t>
      </w:r>
    </w:p>
    <w:p w14:paraId="00000002" w14:textId="77777777" w:rsidR="009D54C5" w:rsidRPr="00462ADE" w:rsidRDefault="009D54C5">
      <w:pPr>
        <w:rPr>
          <w:rFonts w:ascii="Univers" w:eastAsia="Open Sans" w:hAnsi="Univers" w:cs="Open Sans"/>
          <w:sz w:val="20"/>
          <w:szCs w:val="20"/>
        </w:rPr>
      </w:pPr>
    </w:p>
    <w:p w14:paraId="00000003" w14:textId="77777777" w:rsidR="009D54C5" w:rsidRPr="00462ADE" w:rsidRDefault="00000000">
      <w:pPr>
        <w:jc w:val="both"/>
        <w:rPr>
          <w:rFonts w:ascii="Univers" w:eastAsia="Open Sans" w:hAnsi="Univers" w:cs="Open Sans"/>
          <w:b/>
          <w:bCs/>
          <w:sz w:val="20"/>
          <w:szCs w:val="20"/>
        </w:rPr>
      </w:pPr>
      <w:r w:rsidRPr="00462ADE">
        <w:rPr>
          <w:rFonts w:ascii="Univers" w:eastAsia="Open Sans" w:hAnsi="Univers" w:cs="Open Sans"/>
          <w:b/>
          <w:bCs/>
          <w:sz w:val="20"/>
          <w:szCs w:val="20"/>
        </w:rPr>
        <w:t>The World Economic Chamber contributes to the development of cross-border economic policy through structured analysis, regulatory dialogue and formal advocacy, grounded in the institutional neutrality and disciplined process that give its positions credibility with governments, regulators and multilateral bodies.</w:t>
      </w:r>
    </w:p>
    <w:p w14:paraId="00000004" w14:textId="77777777" w:rsidR="009D54C5" w:rsidRPr="00462ADE" w:rsidRDefault="009D54C5">
      <w:pPr>
        <w:jc w:val="both"/>
        <w:rPr>
          <w:rFonts w:ascii="Univers" w:eastAsia="Open Sans" w:hAnsi="Univers" w:cs="Open Sans"/>
          <w:b/>
          <w:bCs/>
          <w:sz w:val="20"/>
          <w:szCs w:val="20"/>
        </w:rPr>
      </w:pPr>
    </w:p>
    <w:p w14:paraId="00000005" w14:textId="77777777" w:rsidR="009D54C5" w:rsidRPr="00462ADE" w:rsidRDefault="00000000">
      <w:pPr>
        <w:jc w:val="both"/>
        <w:rPr>
          <w:rFonts w:ascii="Univers" w:eastAsia="Open Sans" w:hAnsi="Univers" w:cs="Open Sans"/>
          <w:b/>
          <w:bCs/>
          <w:sz w:val="24"/>
          <w:szCs w:val="24"/>
        </w:rPr>
      </w:pPr>
      <w:r w:rsidRPr="00462ADE">
        <w:rPr>
          <w:rFonts w:ascii="Univers" w:eastAsia="Open Sans" w:hAnsi="Univers" w:cs="Open Sans"/>
          <w:b/>
          <w:bCs/>
          <w:sz w:val="24"/>
          <w:szCs w:val="24"/>
        </w:rPr>
        <w:t>Global Policy Statements</w:t>
      </w:r>
    </w:p>
    <w:p w14:paraId="00000006" w14:textId="77777777" w:rsidR="009D54C5" w:rsidRPr="00462ADE" w:rsidRDefault="009D54C5">
      <w:pPr>
        <w:jc w:val="both"/>
        <w:rPr>
          <w:rFonts w:ascii="Univers" w:eastAsia="Open Sans" w:hAnsi="Univers" w:cs="Open Sans"/>
          <w:sz w:val="20"/>
          <w:szCs w:val="20"/>
        </w:rPr>
      </w:pPr>
    </w:p>
    <w:p w14:paraId="00000007"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Global Policy Statements represent the Chamber's formal institutional positions on matters of significance to cross-border economic activity. They are the most authoritative expression of the Chamber's policy work, reflecting a level of consideration, internal review and cross-jurisdictional consistency appropriate to statements made in the Chamber's institutional name.</w:t>
      </w:r>
    </w:p>
    <w:p w14:paraId="00000008" w14:textId="77777777" w:rsidR="009D54C5" w:rsidRPr="00462ADE" w:rsidRDefault="009D54C5">
      <w:pPr>
        <w:jc w:val="both"/>
        <w:rPr>
          <w:rFonts w:ascii="Univers" w:eastAsia="Open Sans" w:hAnsi="Univers" w:cs="Open Sans"/>
          <w:sz w:val="20"/>
          <w:szCs w:val="20"/>
        </w:rPr>
      </w:pPr>
    </w:p>
    <w:p w14:paraId="00000009"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A Global Policy Statement is developed only where a matter is of sufficient significance and durability to warrant a formal institutional position, as distinct from the more contained analysis found in the Chamber's position papers or research output. This distinction matters: the Chamber treats the issuance of a Global Policy Statement as a considered institutional act, not a routine communication, and reserves this form of statement for matters where a clear, consistent position genuinely serves members and the broader cross-border economic environment.</w:t>
      </w:r>
    </w:p>
    <w:p w14:paraId="0000000A" w14:textId="77777777" w:rsidR="009D54C5" w:rsidRPr="00462ADE" w:rsidRDefault="009D54C5">
      <w:pPr>
        <w:jc w:val="both"/>
        <w:rPr>
          <w:rFonts w:ascii="Univers" w:eastAsia="Open Sans" w:hAnsi="Univers" w:cs="Open Sans"/>
          <w:sz w:val="20"/>
          <w:szCs w:val="20"/>
        </w:rPr>
      </w:pPr>
    </w:p>
    <w:p w14:paraId="0000000B"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The development of a Global Policy Statement draws on the Chamber's research and intelligence function, member input gathered through relevant programs and forums, and consultation across the jurisdictions in which the statement's subject matter has material relevance. This process is designed to ensure that a Global Policy Statement reflects an institutional view informed by evidence and broad engagement, rather than the perspective of any single member, sector or region.</w:t>
      </w:r>
    </w:p>
    <w:p w14:paraId="0000000C" w14:textId="77777777" w:rsidR="009D54C5" w:rsidRPr="00462ADE" w:rsidRDefault="009D54C5">
      <w:pPr>
        <w:jc w:val="both"/>
        <w:rPr>
          <w:rFonts w:ascii="Univers" w:eastAsia="Open Sans" w:hAnsi="Univers" w:cs="Open Sans"/>
          <w:sz w:val="20"/>
          <w:szCs w:val="20"/>
        </w:rPr>
      </w:pPr>
    </w:p>
    <w:p w14:paraId="0000000D"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Consistent with the Chamber's Institutional Independence &amp; Neutrality Policy, Global Policy Statements are developed and reviewed to ensure they do not advance the interests of any individual member, government or sector at the expense of the Chamber's broader mandate. Internal review, coordinated through Executive Leadership and, where the subject matter warrants, the Governing Council, considers both the substance of a proposed statement and its consistency with positions the Chamber has previously taken, in accordance with the Cross-Jurisdictional Consultation &amp; Coordination Procedures.</w:t>
      </w:r>
    </w:p>
    <w:p w14:paraId="0000000E" w14:textId="77777777" w:rsidR="009D54C5" w:rsidRPr="00462ADE" w:rsidRDefault="009D54C5">
      <w:pPr>
        <w:jc w:val="both"/>
        <w:rPr>
          <w:rFonts w:ascii="Univers" w:eastAsia="Open Sans" w:hAnsi="Univers" w:cs="Open Sans"/>
          <w:sz w:val="20"/>
          <w:szCs w:val="20"/>
        </w:rPr>
      </w:pPr>
    </w:p>
    <w:p w14:paraId="0000000F"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Once issued, Global Policy Statements serve as a reference point for the Chamber's subsequent engagement with regulators, governments and multilateral bodies on the matters they address, and inform the development of related position papers, submissions and regulatory dialogue. Members are expected to be familiar with the Chamber's Global Policy Statements relevant to their areas of activity, given the role these statements play in shaping the Chamber's broader institutional engagement.</w:t>
      </w:r>
    </w:p>
    <w:p w14:paraId="00000010" w14:textId="77777777" w:rsidR="009D54C5" w:rsidRPr="00462ADE" w:rsidRDefault="009D54C5">
      <w:pPr>
        <w:jc w:val="both"/>
        <w:rPr>
          <w:rFonts w:ascii="Univers" w:eastAsia="Open Sans" w:hAnsi="Univers" w:cs="Open Sans"/>
          <w:b/>
          <w:bCs/>
          <w:sz w:val="20"/>
          <w:szCs w:val="20"/>
        </w:rPr>
      </w:pPr>
    </w:p>
    <w:p w14:paraId="00000011" w14:textId="77777777" w:rsidR="009D54C5" w:rsidRPr="00462ADE" w:rsidRDefault="00000000">
      <w:pPr>
        <w:jc w:val="both"/>
        <w:rPr>
          <w:rFonts w:ascii="Univers" w:eastAsia="Open Sans" w:hAnsi="Univers" w:cs="Open Sans"/>
          <w:b/>
          <w:bCs/>
          <w:sz w:val="24"/>
          <w:szCs w:val="24"/>
        </w:rPr>
      </w:pPr>
      <w:r w:rsidRPr="00462ADE">
        <w:rPr>
          <w:rFonts w:ascii="Univers" w:eastAsia="Open Sans" w:hAnsi="Univers" w:cs="Open Sans"/>
          <w:b/>
          <w:bCs/>
          <w:sz w:val="24"/>
          <w:szCs w:val="24"/>
        </w:rPr>
        <w:t>Regulatory Dialogue &amp; Consultations</w:t>
      </w:r>
    </w:p>
    <w:p w14:paraId="00000012" w14:textId="77777777" w:rsidR="009D54C5" w:rsidRPr="00462ADE" w:rsidRDefault="009D54C5">
      <w:pPr>
        <w:jc w:val="both"/>
        <w:rPr>
          <w:rFonts w:ascii="Univers" w:eastAsia="Open Sans" w:hAnsi="Univers" w:cs="Open Sans"/>
          <w:sz w:val="20"/>
          <w:szCs w:val="20"/>
        </w:rPr>
      </w:pPr>
    </w:p>
    <w:p w14:paraId="00000013"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Regulatory Dialogue &amp; Consultations describes the Chamber's ongoing engagement with regulatory authorities on matters relevant to cross-border economic activity, conducted through structured, sustained interaction rather than isolated or reactive contact. This area of the Chamber's work operationalises the standards set out in the Regulatory Engagement Standards and related governance protocols, applying them specifically to the Chamber's policy and advocacy function.</w:t>
      </w:r>
    </w:p>
    <w:p w14:paraId="00000014" w14:textId="77777777" w:rsidR="009D54C5" w:rsidRPr="00462ADE" w:rsidRDefault="009D54C5">
      <w:pPr>
        <w:jc w:val="both"/>
        <w:rPr>
          <w:rFonts w:ascii="Univers" w:eastAsia="Open Sans" w:hAnsi="Univers" w:cs="Open Sans"/>
          <w:sz w:val="20"/>
          <w:szCs w:val="20"/>
        </w:rPr>
      </w:pPr>
    </w:p>
    <w:p w14:paraId="00000015"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The Chamber engages in regulatory dialogue on matters where its institutional perspective, informed by a membership operating across multiple sectors and jurisdictions, can meaningfully contribute to a regulator's understanding of how proposed or existing regulation affects cross-</w:t>
      </w:r>
      <w:r w:rsidRPr="00462ADE">
        <w:rPr>
          <w:rFonts w:ascii="Univers" w:eastAsia="Open Sans" w:hAnsi="Univers" w:cs="Open Sans"/>
          <w:sz w:val="20"/>
          <w:szCs w:val="20"/>
        </w:rPr>
        <w:lastRenderedPageBreak/>
        <w:t>border economic activity in practice. This engagement is distinct from advocacy on behalf of any individual member's commercial interest; it is grounded in the Chamber's broader institutional mandate to strengthen the conditions supporting responsible international commerce.</w:t>
      </w:r>
    </w:p>
    <w:p w14:paraId="00000016" w14:textId="77777777" w:rsidR="009D54C5" w:rsidRPr="00462ADE" w:rsidRDefault="009D54C5">
      <w:pPr>
        <w:jc w:val="both"/>
        <w:rPr>
          <w:rFonts w:ascii="Univers" w:eastAsia="Open Sans" w:hAnsi="Univers" w:cs="Open Sans"/>
          <w:sz w:val="20"/>
          <w:szCs w:val="20"/>
        </w:rPr>
      </w:pPr>
    </w:p>
    <w:p w14:paraId="00000017"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Consultations may be initiated by a regulator seeking the Chamber's perspective on a matter under review, or by the Chamber itself where it identifies a regulatory development of sufficient significance to warrant proactive engagement. In either case, the Chamber's contribution is prepared through internal review consistent with the Regulatory Meeting and Submission Protocols, ensuring that any position communicated has been verified for accuracy and assessed for consistency with the Chamber's existing policy positions.</w:t>
      </w:r>
    </w:p>
    <w:p w14:paraId="00000018" w14:textId="77777777" w:rsidR="009D54C5" w:rsidRPr="00462ADE" w:rsidRDefault="009D54C5">
      <w:pPr>
        <w:jc w:val="both"/>
        <w:rPr>
          <w:rFonts w:ascii="Univers" w:eastAsia="Open Sans" w:hAnsi="Univers" w:cs="Open Sans"/>
          <w:sz w:val="20"/>
          <w:szCs w:val="20"/>
        </w:rPr>
      </w:pPr>
    </w:p>
    <w:p w14:paraId="00000019"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Where regulatory dialogue spans more than one jurisdiction, whether because a regulatory question has cross-border implications or because parallel processes are underway in multiple jurisdictions simultaneously, engagement is coordinated in accordance with the Cross-Jurisdictional Consultation &amp; Coordination Procedures, ensuring that the Chamber's contribution to each process remains consistent.</w:t>
      </w:r>
    </w:p>
    <w:p w14:paraId="0000001A" w14:textId="77777777" w:rsidR="009D54C5" w:rsidRPr="00462ADE" w:rsidRDefault="009D54C5">
      <w:pPr>
        <w:jc w:val="both"/>
        <w:rPr>
          <w:rFonts w:ascii="Univers" w:eastAsia="Open Sans" w:hAnsi="Univers" w:cs="Open Sans"/>
          <w:sz w:val="20"/>
          <w:szCs w:val="20"/>
        </w:rPr>
      </w:pPr>
    </w:p>
    <w:p w14:paraId="0000001B"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The Chamber values regulatory dialogue precisely because it allows regulatory authorities to draw on informed, cross-sector perspectives before rules are finalised, rather than only after their effects are felt. Members with relevant expertise may be invited to contribute to the development of the Chamber's position on a given consultation, though the resulting submission reflects the Chamber's institutional view rather than that of any individual contributing member, consistent with the Institutional Independence &amp; Neutrality Policy.</w:t>
      </w:r>
    </w:p>
    <w:p w14:paraId="0000001C" w14:textId="77777777" w:rsidR="009D54C5" w:rsidRPr="00462ADE" w:rsidRDefault="009D54C5">
      <w:pPr>
        <w:jc w:val="both"/>
        <w:rPr>
          <w:rFonts w:ascii="Univers" w:eastAsia="Open Sans" w:hAnsi="Univers" w:cs="Open Sans"/>
          <w:b/>
          <w:bCs/>
          <w:sz w:val="20"/>
          <w:szCs w:val="20"/>
        </w:rPr>
      </w:pPr>
    </w:p>
    <w:p w14:paraId="0000001D" w14:textId="77777777" w:rsidR="009D54C5" w:rsidRPr="00462ADE" w:rsidRDefault="00000000">
      <w:pPr>
        <w:jc w:val="both"/>
        <w:rPr>
          <w:rFonts w:ascii="Univers" w:eastAsia="Open Sans" w:hAnsi="Univers" w:cs="Open Sans"/>
          <w:b/>
          <w:bCs/>
          <w:sz w:val="24"/>
          <w:szCs w:val="24"/>
        </w:rPr>
      </w:pPr>
      <w:r w:rsidRPr="00462ADE">
        <w:rPr>
          <w:rFonts w:ascii="Univers" w:eastAsia="Open Sans" w:hAnsi="Univers" w:cs="Open Sans"/>
          <w:b/>
          <w:bCs/>
          <w:sz w:val="24"/>
          <w:szCs w:val="24"/>
        </w:rPr>
        <w:t>Economic Position Papers</w:t>
      </w:r>
    </w:p>
    <w:p w14:paraId="0000001E" w14:textId="77777777" w:rsidR="009D54C5" w:rsidRPr="00462ADE" w:rsidRDefault="009D54C5">
      <w:pPr>
        <w:jc w:val="both"/>
        <w:rPr>
          <w:rFonts w:ascii="Univers" w:eastAsia="Open Sans" w:hAnsi="Univers" w:cs="Open Sans"/>
          <w:sz w:val="20"/>
          <w:szCs w:val="20"/>
        </w:rPr>
      </w:pPr>
    </w:p>
    <w:p w14:paraId="0000001F"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Economic Position Papers provide the Chamber's considered analysis and institutional perspective on specific economic questions relevant to cross-border commerce, offering members and external readers a more detailed and technical treatment of a subject than the concise formulations found in Global Policy Statements.</w:t>
      </w:r>
    </w:p>
    <w:p w14:paraId="00000020" w14:textId="77777777" w:rsidR="009D54C5" w:rsidRPr="00462ADE" w:rsidRDefault="009D54C5">
      <w:pPr>
        <w:jc w:val="both"/>
        <w:rPr>
          <w:rFonts w:ascii="Univers" w:eastAsia="Open Sans" w:hAnsi="Univers" w:cs="Open Sans"/>
          <w:sz w:val="20"/>
          <w:szCs w:val="20"/>
        </w:rPr>
      </w:pPr>
    </w:p>
    <w:p w14:paraId="00000021"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Position papers are developed in response to economic developments, regulatory trends or structural questions that merit sustained analytical attention, drawing on the Chamber's research and intelligence function and, where relevant, the practical experience of members engaged in the area under discussion. Unlike Global Policy Statements, which represent a formal institutional stance intended for extended reference, position papers are designed to explore a subject with analytical depth, presenting evidence, context and reasoning in a manner that supports members' own understanding and decision-making.</w:t>
      </w:r>
    </w:p>
    <w:p w14:paraId="00000022" w14:textId="77777777" w:rsidR="009D54C5" w:rsidRPr="00462ADE" w:rsidRDefault="009D54C5">
      <w:pPr>
        <w:jc w:val="both"/>
        <w:rPr>
          <w:rFonts w:ascii="Univers" w:eastAsia="Open Sans" w:hAnsi="Univers" w:cs="Open Sans"/>
          <w:sz w:val="20"/>
          <w:szCs w:val="20"/>
        </w:rPr>
      </w:pPr>
    </w:p>
    <w:p w14:paraId="00000023"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 xml:space="preserve">Each position paper is prepared with the same standard of accuracy and internal review applied across the Chamber's policy work, ensuring that analysis presented under the Chamber's name meets the standard expected of an institution whose credibility depends on the reliability of its output. Where a position paper addresses a matter with cross-jurisdictional dimensions, its analysis is developed </w:t>
      </w:r>
      <w:proofErr w:type="gramStart"/>
      <w:r w:rsidRPr="00462ADE">
        <w:rPr>
          <w:rFonts w:ascii="Univers" w:eastAsia="Open Sans" w:hAnsi="Univers" w:cs="Open Sans"/>
          <w:sz w:val="20"/>
          <w:szCs w:val="20"/>
        </w:rPr>
        <w:t>with regard to</w:t>
      </w:r>
      <w:proofErr w:type="gramEnd"/>
      <w:r w:rsidRPr="00462ADE">
        <w:rPr>
          <w:rFonts w:ascii="Univers" w:eastAsia="Open Sans" w:hAnsi="Univers" w:cs="Open Sans"/>
          <w:sz w:val="20"/>
          <w:szCs w:val="20"/>
        </w:rPr>
        <w:t xml:space="preserve"> the regulatory and institutional variation relevant to each jurisdiction discussed, consistent with the Chamber's broader commitment to jurisdictional respect.</w:t>
      </w:r>
    </w:p>
    <w:p w14:paraId="00000024" w14:textId="77777777" w:rsidR="009D54C5" w:rsidRPr="00462ADE" w:rsidRDefault="009D54C5">
      <w:pPr>
        <w:jc w:val="both"/>
        <w:rPr>
          <w:rFonts w:ascii="Univers" w:eastAsia="Open Sans" w:hAnsi="Univers" w:cs="Open Sans"/>
          <w:sz w:val="20"/>
          <w:szCs w:val="20"/>
        </w:rPr>
      </w:pPr>
    </w:p>
    <w:p w14:paraId="00000025"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Position papers occupy a distinct role in the Chamber's policy architecture: they inform the development of Global Policy Statements and regulatory submissions by providing the underlying analytical groundwork, while also standing as independent resources that members can draw upon directly in their own engagement with counterparts, regulators or internal decision-making processes.</w:t>
      </w:r>
    </w:p>
    <w:p w14:paraId="00000026" w14:textId="77777777" w:rsidR="009D54C5" w:rsidRPr="00462ADE" w:rsidRDefault="009D54C5">
      <w:pPr>
        <w:jc w:val="both"/>
        <w:rPr>
          <w:rFonts w:ascii="Univers" w:eastAsia="Open Sans" w:hAnsi="Univers" w:cs="Open Sans"/>
          <w:sz w:val="20"/>
          <w:szCs w:val="20"/>
        </w:rPr>
      </w:pPr>
    </w:p>
    <w:p w14:paraId="00000027"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 xml:space="preserve">The Chamber publishes position papers on a rolling basis as subjects warranting sustained analysis are identified, ensuring that this body of work remains responsive to the evolving conditions shaping cross-border economic activity. Members with </w:t>
      </w:r>
      <w:proofErr w:type="gramStart"/>
      <w:r w:rsidRPr="00462ADE">
        <w:rPr>
          <w:rFonts w:ascii="Univers" w:eastAsia="Open Sans" w:hAnsi="Univers" w:cs="Open Sans"/>
          <w:sz w:val="20"/>
          <w:szCs w:val="20"/>
        </w:rPr>
        <w:t>particular expertise</w:t>
      </w:r>
      <w:proofErr w:type="gramEnd"/>
      <w:r w:rsidRPr="00462ADE">
        <w:rPr>
          <w:rFonts w:ascii="Univers" w:eastAsia="Open Sans" w:hAnsi="Univers" w:cs="Open Sans"/>
          <w:sz w:val="20"/>
          <w:szCs w:val="20"/>
        </w:rPr>
        <w:t xml:space="preserve"> in a </w:t>
      </w:r>
      <w:r w:rsidRPr="00462ADE">
        <w:rPr>
          <w:rFonts w:ascii="Univers" w:eastAsia="Open Sans" w:hAnsi="Univers" w:cs="Open Sans"/>
          <w:sz w:val="20"/>
          <w:szCs w:val="20"/>
        </w:rPr>
        <w:lastRenderedPageBreak/>
        <w:t>subject under consideration may be invited to contribute to the development of a position paper, subject to the same standards of accuracy, neutrality and institutional review applied throughout the Chamber's policy and advocacy work.</w:t>
      </w:r>
    </w:p>
    <w:p w14:paraId="00000028" w14:textId="77777777" w:rsidR="009D54C5" w:rsidRPr="00462ADE" w:rsidRDefault="009D54C5">
      <w:pPr>
        <w:jc w:val="both"/>
        <w:rPr>
          <w:rFonts w:ascii="Univers" w:eastAsia="Open Sans" w:hAnsi="Univers" w:cs="Open Sans"/>
          <w:b/>
          <w:bCs/>
          <w:sz w:val="20"/>
          <w:szCs w:val="20"/>
        </w:rPr>
      </w:pPr>
    </w:p>
    <w:p w14:paraId="00000029" w14:textId="77777777" w:rsidR="009D54C5" w:rsidRPr="00462ADE" w:rsidRDefault="00000000">
      <w:pPr>
        <w:jc w:val="both"/>
        <w:rPr>
          <w:rFonts w:ascii="Univers" w:eastAsia="Open Sans" w:hAnsi="Univers" w:cs="Open Sans"/>
          <w:b/>
          <w:bCs/>
          <w:sz w:val="24"/>
          <w:szCs w:val="24"/>
        </w:rPr>
      </w:pPr>
      <w:r w:rsidRPr="00462ADE">
        <w:rPr>
          <w:rFonts w:ascii="Univers" w:eastAsia="Open Sans" w:hAnsi="Univers" w:cs="Open Sans"/>
          <w:b/>
          <w:bCs/>
          <w:sz w:val="24"/>
          <w:szCs w:val="24"/>
        </w:rPr>
        <w:t>International Standards &amp; Best</w:t>
      </w:r>
      <w:r w:rsidRPr="00462ADE">
        <w:rPr>
          <w:rFonts w:ascii="Cambria Math" w:eastAsia="Open Sans" w:hAnsi="Cambria Math" w:cs="Cambria Math"/>
          <w:b/>
          <w:bCs/>
          <w:sz w:val="24"/>
          <w:szCs w:val="24"/>
        </w:rPr>
        <w:t>‑</w:t>
      </w:r>
      <w:r w:rsidRPr="00462ADE">
        <w:rPr>
          <w:rFonts w:ascii="Univers" w:eastAsia="Open Sans" w:hAnsi="Univers" w:cs="Open Sans"/>
          <w:b/>
          <w:bCs/>
          <w:sz w:val="24"/>
          <w:szCs w:val="24"/>
        </w:rPr>
        <w:t>Practice Guidelines</w:t>
      </w:r>
    </w:p>
    <w:p w14:paraId="0000002A" w14:textId="77777777" w:rsidR="009D54C5" w:rsidRPr="00462ADE" w:rsidRDefault="009D54C5">
      <w:pPr>
        <w:jc w:val="both"/>
        <w:rPr>
          <w:rFonts w:ascii="Univers" w:eastAsia="Open Sans" w:hAnsi="Univers" w:cs="Open Sans"/>
          <w:sz w:val="20"/>
          <w:szCs w:val="20"/>
        </w:rPr>
      </w:pPr>
    </w:p>
    <w:p w14:paraId="0000002B"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International Standards &amp; Best-Practice Guidelines set out the Chamber's contribution to the development and articulation of standards that support consistent, responsible conduct in cross-border economic activity. This area of the Chamber's work reflects its role not only as a participant in international commerce, but as an institution with a mandate to strengthen the frameworks within which that commerce is conducted.</w:t>
      </w:r>
    </w:p>
    <w:p w14:paraId="0000002C" w14:textId="77777777" w:rsidR="009D54C5" w:rsidRPr="00462ADE" w:rsidRDefault="009D54C5">
      <w:pPr>
        <w:jc w:val="both"/>
        <w:rPr>
          <w:rFonts w:ascii="Univers" w:eastAsia="Open Sans" w:hAnsi="Univers" w:cs="Open Sans"/>
          <w:sz w:val="20"/>
          <w:szCs w:val="20"/>
        </w:rPr>
      </w:pPr>
    </w:p>
    <w:p w14:paraId="0000002D"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The Chamber develops guidelines in areas where members and the broader cross-border business community would benefit from a clear, considered articulation of good practice, particularly in areas where regulatory frameworks vary significantly across jurisdictions or where formal regulation has not yet caught up with the practical realities of cross-border activity. These guidelines are developed to complement, not substitute for, applicable regulatory requirements, and members remain responsible for compliance with the specific legal obligations of the jurisdictions in which they operate.</w:t>
      </w:r>
    </w:p>
    <w:p w14:paraId="0000002E" w14:textId="77777777" w:rsidR="009D54C5" w:rsidRPr="00462ADE" w:rsidRDefault="009D54C5">
      <w:pPr>
        <w:jc w:val="both"/>
        <w:rPr>
          <w:rFonts w:ascii="Univers" w:eastAsia="Open Sans" w:hAnsi="Univers" w:cs="Open Sans"/>
          <w:sz w:val="20"/>
          <w:szCs w:val="20"/>
        </w:rPr>
      </w:pPr>
    </w:p>
    <w:p w14:paraId="0000002F"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Guidelines are developed through a process that draws on the practical experience of members, the analytical work of the Chamber's research and intelligence function, and, where relevant, consultation with regulatory bodies and other institutional counterparts whose perspective strengthens the credibility and applicability of the resulting standard. This collaborative development process reflects the Chamber's view that best-practice guidance is most valuable when it is grounded in the operational reality of the organisations expected to apply it.</w:t>
      </w:r>
    </w:p>
    <w:p w14:paraId="00000030" w14:textId="77777777" w:rsidR="009D54C5" w:rsidRPr="00462ADE" w:rsidRDefault="009D54C5">
      <w:pPr>
        <w:jc w:val="both"/>
        <w:rPr>
          <w:rFonts w:ascii="Univers" w:eastAsia="Open Sans" w:hAnsi="Univers" w:cs="Open Sans"/>
          <w:sz w:val="20"/>
          <w:szCs w:val="20"/>
        </w:rPr>
      </w:pPr>
    </w:p>
    <w:p w14:paraId="00000031"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Where the Chamber's guidelines intersect with existing international standards developed by other bodies, the Chamber's work is designed to complement and reference those standards rather than duplicate or compete with them, consistent with its broader institutional practice of engaging constructively with the existing architecture of international economic governance.</w:t>
      </w:r>
    </w:p>
    <w:p w14:paraId="00000032"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 xml:space="preserve">International Standards &amp; Best-Practice Guidelines are reviewed periodically to ensure they remain consistent with evolving regulatory conditions and member </w:t>
      </w:r>
      <w:proofErr w:type="gramStart"/>
      <w:r w:rsidRPr="00462ADE">
        <w:rPr>
          <w:rFonts w:ascii="Univers" w:eastAsia="Open Sans" w:hAnsi="Univers" w:cs="Open Sans"/>
          <w:sz w:val="20"/>
          <w:szCs w:val="20"/>
        </w:rPr>
        <w:t>experience, and</w:t>
      </w:r>
      <w:proofErr w:type="gramEnd"/>
      <w:r w:rsidRPr="00462ADE">
        <w:rPr>
          <w:rFonts w:ascii="Univers" w:eastAsia="Open Sans" w:hAnsi="Univers" w:cs="Open Sans"/>
          <w:sz w:val="20"/>
          <w:szCs w:val="20"/>
        </w:rPr>
        <w:t xml:space="preserve"> are updated where practice or regulation has advanced beyond the guidance previously issued. This ongoing review reflects the Chamber's understanding that credible standards guidance must evolve alongside the environment it addresses, rather than remaining static once issued.</w:t>
      </w:r>
    </w:p>
    <w:p w14:paraId="00000035" w14:textId="77777777" w:rsidR="009D54C5" w:rsidRPr="00462ADE" w:rsidRDefault="009D54C5">
      <w:pPr>
        <w:jc w:val="both"/>
        <w:rPr>
          <w:rFonts w:ascii="Univers" w:eastAsia="Open Sans" w:hAnsi="Univers" w:cs="Open Sans"/>
          <w:b/>
          <w:bCs/>
          <w:sz w:val="20"/>
          <w:szCs w:val="20"/>
        </w:rPr>
      </w:pPr>
    </w:p>
    <w:p w14:paraId="00000036" w14:textId="77777777" w:rsidR="009D54C5" w:rsidRPr="00462ADE" w:rsidRDefault="00000000">
      <w:pPr>
        <w:jc w:val="both"/>
        <w:rPr>
          <w:rFonts w:ascii="Univers" w:eastAsia="Open Sans" w:hAnsi="Univers" w:cs="Open Sans"/>
          <w:b/>
          <w:bCs/>
          <w:sz w:val="24"/>
          <w:szCs w:val="24"/>
        </w:rPr>
      </w:pPr>
      <w:r w:rsidRPr="00462ADE">
        <w:rPr>
          <w:rFonts w:ascii="Univers" w:eastAsia="Open Sans" w:hAnsi="Univers" w:cs="Open Sans"/>
          <w:b/>
          <w:bCs/>
          <w:sz w:val="24"/>
          <w:szCs w:val="24"/>
        </w:rPr>
        <w:t>Public Submissions &amp; Commentary</w:t>
      </w:r>
    </w:p>
    <w:p w14:paraId="00000037" w14:textId="77777777" w:rsidR="009D54C5" w:rsidRPr="00462ADE" w:rsidRDefault="009D54C5">
      <w:pPr>
        <w:jc w:val="both"/>
        <w:rPr>
          <w:rFonts w:ascii="Univers" w:eastAsia="Open Sans" w:hAnsi="Univers" w:cs="Open Sans"/>
          <w:sz w:val="20"/>
          <w:szCs w:val="20"/>
        </w:rPr>
      </w:pPr>
    </w:p>
    <w:p w14:paraId="00000038"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Public Submissions &amp; Commentary encompasses the Chamber's formal contributions to public consultations, legislative processes and regulatory reviews conducted by governments, regulators and multilateral bodies, together with the Chamber's published commentary on developments relevant to cross-border economic activity.</w:t>
      </w:r>
    </w:p>
    <w:p w14:paraId="00000039" w14:textId="77777777" w:rsidR="009D54C5" w:rsidRPr="00462ADE" w:rsidRDefault="009D54C5">
      <w:pPr>
        <w:jc w:val="both"/>
        <w:rPr>
          <w:rFonts w:ascii="Univers" w:eastAsia="Open Sans" w:hAnsi="Univers" w:cs="Open Sans"/>
          <w:sz w:val="20"/>
          <w:szCs w:val="20"/>
        </w:rPr>
      </w:pPr>
    </w:p>
    <w:p w14:paraId="0000003A"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Public submissions are prepared in response to formal consultation processes initiated by a government or regulatory body, following the same standards of internal review, accuracy verification and authorisation applied across the Chamber's regulatory and policy work, consistent with the Regulatory Meeting and Submission Protocols. Each submission reflects the Chamber's institutional position, developed with reference to relevant Global Policy Statements, position papers and prior engagement on related matters, ensuring that the Chamber's contribution to any given public process is consistent with its broader body of policy work.</w:t>
      </w:r>
    </w:p>
    <w:p w14:paraId="0000003B" w14:textId="77777777" w:rsidR="009D54C5" w:rsidRPr="00462ADE" w:rsidRDefault="009D54C5">
      <w:pPr>
        <w:jc w:val="both"/>
        <w:rPr>
          <w:rFonts w:ascii="Univers" w:eastAsia="Open Sans" w:hAnsi="Univers" w:cs="Open Sans"/>
          <w:sz w:val="20"/>
          <w:szCs w:val="20"/>
        </w:rPr>
      </w:pPr>
    </w:p>
    <w:p w14:paraId="0000003C"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 xml:space="preserve">Commentary, distinct from formal submissions, provides the Chamber's published perspective on developments of relevance to its members and mandate, offered outside the context of a specific consultation process. Commentary allows the Chamber to respond to matters of </w:t>
      </w:r>
      <w:r w:rsidRPr="00462ADE">
        <w:rPr>
          <w:rFonts w:ascii="Univers" w:eastAsia="Open Sans" w:hAnsi="Univers" w:cs="Open Sans"/>
          <w:sz w:val="20"/>
          <w:szCs w:val="20"/>
        </w:rPr>
        <w:lastRenderedPageBreak/>
        <w:t>emerging significance in a timely manner, while remaining subject to the same standards of accuracy and institutional review applied to the Chamber's more formal policy output.</w:t>
      </w:r>
    </w:p>
    <w:p w14:paraId="0000003D" w14:textId="77777777" w:rsidR="009D54C5" w:rsidRPr="00462ADE" w:rsidRDefault="009D54C5">
      <w:pPr>
        <w:jc w:val="both"/>
        <w:rPr>
          <w:rFonts w:ascii="Univers" w:eastAsia="Open Sans" w:hAnsi="Univers" w:cs="Open Sans"/>
          <w:sz w:val="20"/>
          <w:szCs w:val="20"/>
        </w:rPr>
      </w:pPr>
    </w:p>
    <w:p w14:paraId="0000003E"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Both submissions and commentary are prepared with particular attention to the Chamber's institutional neutrality, ensuring that public-facing contributions represent the Chamber's considered institutional view rather than the interests of any individual member, sector or jurisdiction, consistent with the Institutional Independence &amp; Neutrality Policy. Where a submission or piece of commentary touches on matters with cross-jurisdictional implications, its development is coordinated in accordance with the Cross-Jurisdictional Consultation &amp; Coordination Procedures.</w:t>
      </w:r>
    </w:p>
    <w:p w14:paraId="0000003F" w14:textId="77777777" w:rsidR="009D54C5" w:rsidRPr="00462ADE" w:rsidRDefault="009D54C5">
      <w:pPr>
        <w:jc w:val="both"/>
        <w:rPr>
          <w:rFonts w:ascii="Univers" w:eastAsia="Open Sans" w:hAnsi="Univers" w:cs="Open Sans"/>
          <w:sz w:val="20"/>
          <w:szCs w:val="20"/>
        </w:rPr>
      </w:pPr>
    </w:p>
    <w:p w14:paraId="00000040" w14:textId="77777777" w:rsidR="009D54C5" w:rsidRPr="00462ADE" w:rsidRDefault="00000000">
      <w:pPr>
        <w:jc w:val="both"/>
        <w:rPr>
          <w:rFonts w:ascii="Univers" w:eastAsia="Open Sans" w:hAnsi="Univers" w:cs="Open Sans"/>
          <w:sz w:val="20"/>
          <w:szCs w:val="20"/>
        </w:rPr>
      </w:pPr>
      <w:r w:rsidRPr="00462ADE">
        <w:rPr>
          <w:rFonts w:ascii="Univers" w:eastAsia="Open Sans" w:hAnsi="Univers" w:cs="Open Sans"/>
          <w:sz w:val="20"/>
          <w:szCs w:val="20"/>
        </w:rPr>
        <w:t xml:space="preserve">The Chamber maintains a record of its public submissions and commentary, providing members and external readers with a transparent account of the positions the Chamber has taken publicly over time. This record reinforces the consistency the Chamber seeks to maintain across its policy and advocacy </w:t>
      </w:r>
      <w:proofErr w:type="gramStart"/>
      <w:r w:rsidRPr="00462ADE">
        <w:rPr>
          <w:rFonts w:ascii="Univers" w:eastAsia="Open Sans" w:hAnsi="Univers" w:cs="Open Sans"/>
          <w:sz w:val="20"/>
          <w:szCs w:val="20"/>
        </w:rPr>
        <w:t>work, and</w:t>
      </w:r>
      <w:proofErr w:type="gramEnd"/>
      <w:r w:rsidRPr="00462ADE">
        <w:rPr>
          <w:rFonts w:ascii="Univers" w:eastAsia="Open Sans" w:hAnsi="Univers" w:cs="Open Sans"/>
          <w:sz w:val="20"/>
          <w:szCs w:val="20"/>
        </w:rPr>
        <w:t xml:space="preserve"> provides a point of reference for members seeking to understand how the Chamber's institutional perspective has developed on matters relevant to their own cross-border activity.</w:t>
      </w:r>
    </w:p>
    <w:p w14:paraId="00000041" w14:textId="77777777" w:rsidR="009D54C5" w:rsidRPr="00462ADE" w:rsidRDefault="009D54C5">
      <w:pPr>
        <w:jc w:val="both"/>
        <w:rPr>
          <w:rFonts w:ascii="Univers" w:eastAsia="Open Sans" w:hAnsi="Univers" w:cs="Open Sans"/>
          <w:sz w:val="20"/>
          <w:szCs w:val="20"/>
        </w:rPr>
      </w:pPr>
    </w:p>
    <w:sectPr w:rsidR="009D54C5" w:rsidRPr="00462AD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0A9073E-DF49-4206-8952-425D3FDCB622}"/>
    <w:embedItalic r:id="rId2" w:fontKey="{1EDC048D-1CB1-48DE-B414-B8E84063DD2B}"/>
  </w:font>
  <w:font w:name="Play">
    <w:charset w:val="00"/>
    <w:family w:val="auto"/>
    <w:pitch w:val="default"/>
    <w:embedRegular r:id="rId3" w:fontKey="{8C3858DD-ED1D-4BA4-8E6C-A9E339D105C3}"/>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7378A1A7-880E-446E-9E20-DDD70C962D1C}"/>
    <w:embedBold r:id="rId5" w:fontKey="{0BF8FB45-9003-4545-AD23-561449297A09}"/>
  </w:font>
  <w:font w:name="Open Sans">
    <w:charset w:val="00"/>
    <w:family w:val="swiss"/>
    <w:pitch w:val="variable"/>
    <w:sig w:usb0="E00002EF" w:usb1="4000205B" w:usb2="00000028" w:usb3="00000000" w:csb0="0000019F" w:csb1="00000000"/>
    <w:embedRegular r:id="rId6" w:fontKey="{97E62125-A12D-4F78-BF31-10C2874BE777}"/>
    <w:embedBold r:id="rId7" w:fontKey="{827DF353-08E6-4D07-916C-5C37D3203DB2}"/>
  </w:font>
  <w:font w:name="Cambria Math">
    <w:panose1 w:val="02040503050406030204"/>
    <w:charset w:val="00"/>
    <w:family w:val="roman"/>
    <w:pitch w:val="variable"/>
    <w:sig w:usb0="E00006FF" w:usb1="420024FF" w:usb2="02000000" w:usb3="00000000" w:csb0="0000019F" w:csb1="00000000"/>
    <w:embedBold r:id="rId8" w:fontKey="{EF3674FF-0655-422D-A8B8-D14DA17772AC}"/>
  </w:font>
  <w:font w:name="Calibri">
    <w:panose1 w:val="020F0502020204030204"/>
    <w:charset w:val="00"/>
    <w:family w:val="swiss"/>
    <w:pitch w:val="variable"/>
    <w:sig w:usb0="E4002EFF" w:usb1="C200247B" w:usb2="00000009" w:usb3="00000000" w:csb0="000001FF" w:csb1="00000000"/>
    <w:embedRegular r:id="rId9" w:fontKey="{EF276091-6F4E-4329-B798-5056CE360BA5}"/>
  </w:font>
  <w:font w:name="Cambria">
    <w:panose1 w:val="02040503050406030204"/>
    <w:charset w:val="00"/>
    <w:family w:val="roman"/>
    <w:pitch w:val="variable"/>
    <w:sig w:usb0="E00006FF" w:usb1="420024FF" w:usb2="02000000" w:usb3="00000000" w:csb0="0000019F" w:csb1="00000000"/>
    <w:embedRegular r:id="rId10" w:fontKey="{4E743E31-E3AB-4239-A383-FDCAB4552F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4C5"/>
    <w:rsid w:val="00462ADE"/>
    <w:rsid w:val="009D54C5"/>
    <w:rsid w:val="00AB78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1916"/>
  <w15:docId w15:val="{7BF04800-8C48-41EC-BF4A-B7D04F9A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EKZ8aLixMeuP3bHCocehO3Y4w==">CgMxLjA4AHIhMTY3OVkySkpxSFBaNFI2cnFvNW5NeFhxV256Z1JuNUE4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1907</Words>
  <Characters>10876</Characters>
  <Application>Microsoft Office Word</Application>
  <DocSecurity>0</DocSecurity>
  <Lines>90</Lines>
  <Paragraphs>25</Paragraphs>
  <ScaleCrop>false</ScaleCrop>
  <Company>Department of Education</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2026-07-23T09:46:00Z</dcterms:created>
  <dcterms:modified xsi:type="dcterms:W3CDTF">2026-07-23T09:47:00Z</dcterms:modified>
</cp:coreProperties>
</file>