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20943" w:rsidRPr="00250F3D" w:rsidRDefault="00000000">
      <w:pPr>
        <w:jc w:val="center"/>
        <w:rPr>
          <w:rFonts w:ascii="Univers" w:eastAsia="Open Sans" w:hAnsi="Univers" w:cs="Open Sans"/>
          <w:b/>
          <w:bCs/>
          <w:sz w:val="24"/>
          <w:szCs w:val="24"/>
        </w:rPr>
      </w:pPr>
      <w:r w:rsidRPr="00250F3D">
        <w:rPr>
          <w:rFonts w:ascii="Univers" w:eastAsia="Open Sans" w:hAnsi="Univers" w:cs="Open Sans"/>
          <w:b/>
          <w:bCs/>
          <w:sz w:val="24"/>
          <w:szCs w:val="24"/>
        </w:rPr>
        <w:t>RESEARCH AND INTELLIGENCE</w:t>
      </w:r>
    </w:p>
    <w:p w14:paraId="00000002" w14:textId="77777777" w:rsidR="00B20943" w:rsidRPr="00250F3D" w:rsidRDefault="00B20943">
      <w:pPr>
        <w:rPr>
          <w:rFonts w:ascii="Univers" w:eastAsia="Open Sans" w:hAnsi="Univers" w:cs="Open Sans"/>
          <w:sz w:val="20"/>
          <w:szCs w:val="20"/>
        </w:rPr>
      </w:pPr>
    </w:p>
    <w:p w14:paraId="00000003" w14:textId="77777777" w:rsidR="00B20943" w:rsidRPr="00250F3D" w:rsidRDefault="00000000">
      <w:pPr>
        <w:jc w:val="both"/>
        <w:rPr>
          <w:rFonts w:ascii="Univers" w:eastAsia="Open Sans" w:hAnsi="Univers" w:cs="Open Sans"/>
          <w:b/>
          <w:bCs/>
          <w:sz w:val="20"/>
          <w:szCs w:val="20"/>
        </w:rPr>
      </w:pPr>
      <w:r w:rsidRPr="00250F3D">
        <w:rPr>
          <w:rFonts w:ascii="Univers" w:eastAsia="Open Sans" w:hAnsi="Univers" w:cs="Open Sans"/>
          <w:b/>
          <w:bCs/>
          <w:sz w:val="20"/>
          <w:szCs w:val="20"/>
        </w:rPr>
        <w:t>The World Economic Chamber's research and intelligence function provides members with rigorously prepared analysis of the market, regulatory and economic conditions shaping cross-border commerce, grounded in the same standards of accuracy and institutional discipline applied throughout the Chamber's work.</w:t>
      </w:r>
    </w:p>
    <w:p w14:paraId="00000004" w14:textId="77777777" w:rsidR="00B20943" w:rsidRPr="00250F3D" w:rsidRDefault="00B20943">
      <w:pPr>
        <w:jc w:val="both"/>
        <w:rPr>
          <w:rFonts w:ascii="Univers" w:eastAsia="Open Sans" w:hAnsi="Univers" w:cs="Open Sans"/>
          <w:b/>
          <w:bCs/>
          <w:sz w:val="20"/>
          <w:szCs w:val="20"/>
        </w:rPr>
      </w:pPr>
    </w:p>
    <w:p w14:paraId="00000005" w14:textId="77777777" w:rsidR="00B20943" w:rsidRPr="00250F3D" w:rsidRDefault="00000000">
      <w:pPr>
        <w:jc w:val="both"/>
        <w:rPr>
          <w:rFonts w:ascii="Univers" w:eastAsia="Open Sans" w:hAnsi="Univers" w:cs="Open Sans"/>
          <w:b/>
          <w:bCs/>
          <w:sz w:val="24"/>
          <w:szCs w:val="24"/>
        </w:rPr>
      </w:pPr>
      <w:r w:rsidRPr="00250F3D">
        <w:rPr>
          <w:rFonts w:ascii="Univers" w:eastAsia="Open Sans" w:hAnsi="Univers" w:cs="Open Sans"/>
          <w:b/>
          <w:bCs/>
          <w:sz w:val="24"/>
          <w:szCs w:val="24"/>
        </w:rPr>
        <w:t>World Economic Chamber Reports</w:t>
      </w:r>
    </w:p>
    <w:p w14:paraId="00000006" w14:textId="77777777" w:rsidR="00B20943" w:rsidRPr="00250F3D" w:rsidRDefault="00B20943">
      <w:pPr>
        <w:jc w:val="both"/>
        <w:rPr>
          <w:rFonts w:ascii="Univers" w:eastAsia="Open Sans" w:hAnsi="Univers" w:cs="Open Sans"/>
          <w:sz w:val="20"/>
          <w:szCs w:val="20"/>
        </w:rPr>
      </w:pPr>
    </w:p>
    <w:p w14:paraId="00000007"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World Economic Chamber Reports constitute the Chamber's principal analytical publications, providing structured examination of economic and regulatory developments relevant to members operating across borders. These reports are distinguished from the Chamber's other research output by their scope and institutional standing, typically addressing broader thematic developments rather than the narrower, sector-specific focus of briefings or the highly technical treatment found in white papers.</w:t>
      </w:r>
    </w:p>
    <w:p w14:paraId="00000008" w14:textId="77777777" w:rsidR="00B20943" w:rsidRPr="00250F3D" w:rsidRDefault="00B20943">
      <w:pPr>
        <w:jc w:val="both"/>
        <w:rPr>
          <w:rFonts w:ascii="Univers" w:eastAsia="Open Sans" w:hAnsi="Univers" w:cs="Open Sans"/>
          <w:sz w:val="20"/>
          <w:szCs w:val="20"/>
        </w:rPr>
      </w:pPr>
    </w:p>
    <w:p w14:paraId="00000009"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Reports are developed through a defined editorial process, drawing on the Chamber's internal analytical capability, member input gathered through relevant programs and, where appropriate, consultation with institutional counterparts whose expertise strengthens the credibility of the analysis presented. This process reflects the Chamber's understanding that reports issued under its institutional name carry a level of authority that must be earned through rigour rather than assumed by virtue of the Chamber's standing.</w:t>
      </w:r>
    </w:p>
    <w:p w14:paraId="0000000A" w14:textId="77777777" w:rsidR="00B20943" w:rsidRPr="00250F3D" w:rsidRDefault="00B20943">
      <w:pPr>
        <w:jc w:val="both"/>
        <w:rPr>
          <w:rFonts w:ascii="Univers" w:eastAsia="Open Sans" w:hAnsi="Univers" w:cs="Open Sans"/>
          <w:sz w:val="20"/>
          <w:szCs w:val="20"/>
        </w:rPr>
      </w:pPr>
    </w:p>
    <w:p w14:paraId="0000000B"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The subject matter of Chamber Reports is selected according to relevance to members' cross-border activity and the broader significance of the developments under examination, rather than according to any promotional or commercial consideration. Reports may examine structural shifts in international trade, the evolving regulatory landscape affecting cross-border investment, or thematic developments spanning several of the Chamber's areas of focus, including sustainable development, technology and infrastructure.</w:t>
      </w:r>
    </w:p>
    <w:p w14:paraId="0000000C" w14:textId="77777777" w:rsidR="00B20943" w:rsidRPr="00250F3D" w:rsidRDefault="00B20943">
      <w:pPr>
        <w:jc w:val="both"/>
        <w:rPr>
          <w:rFonts w:ascii="Univers" w:eastAsia="Open Sans" w:hAnsi="Univers" w:cs="Open Sans"/>
          <w:sz w:val="20"/>
          <w:szCs w:val="20"/>
        </w:rPr>
      </w:pPr>
    </w:p>
    <w:p w14:paraId="0000000D"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Each report undergoes internal review prior to publication, consistent with the standard of accuracy and institutional consistency applied across the Chamber's policy and research work, ensuring that findings presented are verified and that any positions reflected in a report's conclusions are consistent with the Chamber's existing Global Policy Statements and position papers.</w:t>
      </w:r>
    </w:p>
    <w:p w14:paraId="0000000E" w14:textId="77777777" w:rsidR="00B20943" w:rsidRPr="00250F3D" w:rsidRDefault="00B20943">
      <w:pPr>
        <w:jc w:val="both"/>
        <w:rPr>
          <w:rFonts w:ascii="Univers" w:eastAsia="Open Sans" w:hAnsi="Univers" w:cs="Open Sans"/>
          <w:sz w:val="20"/>
          <w:szCs w:val="20"/>
        </w:rPr>
      </w:pPr>
    </w:p>
    <w:p w14:paraId="0000000F"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Chamber Reports are made available to members as a core component of the value membership provides, offering an evidentiary foundation for internal decision-making, strategic planning and engagement with regulators, counterparts and government bodies. The Chamber publishes reports on a rolling basis as subjects of sufficient significance are identified, ensuring that this body of work remains a current and reliable resource for members navigating an evolving international economic environment.</w:t>
      </w:r>
    </w:p>
    <w:p w14:paraId="00000010" w14:textId="77777777" w:rsidR="00B20943" w:rsidRPr="00250F3D" w:rsidRDefault="00B20943">
      <w:pPr>
        <w:jc w:val="both"/>
        <w:rPr>
          <w:rFonts w:ascii="Univers" w:eastAsia="Open Sans" w:hAnsi="Univers" w:cs="Open Sans"/>
          <w:b/>
          <w:bCs/>
          <w:sz w:val="20"/>
          <w:szCs w:val="20"/>
        </w:rPr>
      </w:pPr>
    </w:p>
    <w:p w14:paraId="00000011" w14:textId="77777777" w:rsidR="00B20943" w:rsidRPr="00250F3D" w:rsidRDefault="00000000">
      <w:pPr>
        <w:jc w:val="both"/>
        <w:rPr>
          <w:rFonts w:ascii="Univers" w:eastAsia="Open Sans" w:hAnsi="Univers" w:cs="Open Sans"/>
          <w:b/>
          <w:bCs/>
          <w:sz w:val="24"/>
          <w:szCs w:val="24"/>
        </w:rPr>
      </w:pPr>
      <w:r w:rsidRPr="00250F3D">
        <w:rPr>
          <w:rFonts w:ascii="Univers" w:eastAsia="Open Sans" w:hAnsi="Univers" w:cs="Open Sans"/>
          <w:b/>
          <w:bCs/>
          <w:sz w:val="24"/>
          <w:szCs w:val="24"/>
        </w:rPr>
        <w:t>Global Market Outlook &amp; Sector Briefings</w:t>
      </w:r>
    </w:p>
    <w:p w14:paraId="00000012" w14:textId="77777777" w:rsidR="00B20943" w:rsidRPr="00250F3D" w:rsidRDefault="00B20943">
      <w:pPr>
        <w:jc w:val="both"/>
        <w:rPr>
          <w:rFonts w:ascii="Univers" w:eastAsia="Open Sans" w:hAnsi="Univers" w:cs="Open Sans"/>
          <w:sz w:val="20"/>
          <w:szCs w:val="20"/>
        </w:rPr>
      </w:pPr>
    </w:p>
    <w:p w14:paraId="00000013"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Global Market Outlook &amp; Sector Briefings provide members with regularly updated analysis of economic conditions and sector-specific developments relevant to cross-border commercial activity. Where Chamber Reports address broader thematic questions, this area of the Chamber's research output is designed to track conditions on a more current and granular basis, supporting members' ongoing awareness of the environments in which they operate.</w:t>
      </w:r>
    </w:p>
    <w:p w14:paraId="00000014" w14:textId="77777777" w:rsidR="00B20943" w:rsidRPr="00250F3D" w:rsidRDefault="00B20943">
      <w:pPr>
        <w:jc w:val="both"/>
        <w:rPr>
          <w:rFonts w:ascii="Univers" w:eastAsia="Open Sans" w:hAnsi="Univers" w:cs="Open Sans"/>
          <w:sz w:val="20"/>
          <w:szCs w:val="20"/>
        </w:rPr>
      </w:pPr>
    </w:p>
    <w:p w14:paraId="00000015"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 xml:space="preserve">The Global Market Outlook component examines macroeconomic and regulatory conditions across the regions and jurisdictions of greatest relevance to the Chamber's membership, providing a structured account of the factors likely to affect cross-border commercial activity over the near and medium term. This analysis draws on a range of verified sources and is </w:t>
      </w:r>
      <w:r w:rsidRPr="00250F3D">
        <w:rPr>
          <w:rFonts w:ascii="Univers" w:eastAsia="Open Sans" w:hAnsi="Univers" w:cs="Open Sans"/>
          <w:sz w:val="20"/>
          <w:szCs w:val="20"/>
        </w:rPr>
        <w:lastRenderedPageBreak/>
        <w:t>prepared with attention to the jurisdictional diversity that characterises the Chamber's membership, avoiding generalised commentary in favour of analysis specific to the conditions under examination.</w:t>
      </w:r>
    </w:p>
    <w:p w14:paraId="00000016" w14:textId="77777777" w:rsidR="00B20943" w:rsidRPr="00250F3D" w:rsidRDefault="00B20943">
      <w:pPr>
        <w:jc w:val="both"/>
        <w:rPr>
          <w:rFonts w:ascii="Univers" w:eastAsia="Open Sans" w:hAnsi="Univers" w:cs="Open Sans"/>
          <w:sz w:val="20"/>
          <w:szCs w:val="20"/>
        </w:rPr>
      </w:pPr>
    </w:p>
    <w:p w14:paraId="00000017"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 xml:space="preserve">Sector Briefings provide a similarly structured but more targeted form of analysis, addressing developments within specific industries or areas of economic activity represented within the Chamber's membership. These briefings are developed with reference to the </w:t>
      </w:r>
      <w:proofErr w:type="gramStart"/>
      <w:r w:rsidRPr="00250F3D">
        <w:rPr>
          <w:rFonts w:ascii="Univers" w:eastAsia="Open Sans" w:hAnsi="Univers" w:cs="Open Sans"/>
          <w:sz w:val="20"/>
          <w:szCs w:val="20"/>
        </w:rPr>
        <w:t>particular regulatory</w:t>
      </w:r>
      <w:proofErr w:type="gramEnd"/>
      <w:r w:rsidRPr="00250F3D">
        <w:rPr>
          <w:rFonts w:ascii="Univers" w:eastAsia="Open Sans" w:hAnsi="Univers" w:cs="Open Sans"/>
          <w:sz w:val="20"/>
          <w:szCs w:val="20"/>
        </w:rPr>
        <w:t>, market and operational considerations relevant to each sector, ensuring that members receive analysis calibrated to the specific conditions affecting their area of activity rather than generic sector commentary.</w:t>
      </w:r>
    </w:p>
    <w:p w14:paraId="00000018" w14:textId="77777777" w:rsidR="00B20943" w:rsidRPr="00250F3D" w:rsidRDefault="00B20943">
      <w:pPr>
        <w:jc w:val="both"/>
        <w:rPr>
          <w:rFonts w:ascii="Univers" w:eastAsia="Open Sans" w:hAnsi="Univers" w:cs="Open Sans"/>
          <w:sz w:val="20"/>
          <w:szCs w:val="20"/>
        </w:rPr>
      </w:pPr>
    </w:p>
    <w:p w14:paraId="00000019"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Both the Outlook and the Briefings are prepared on a defined publication cycle, reflecting the Chamber's recognition that market and regulatory conditions require ongoing monitoring rather than periodic review. This regularity distinguishes the Chamber's outlook and briefing function from its longer-form reports and white papers, providing members with a current, dependable source of analysis suited to more immediate decision-making needs.</w:t>
      </w:r>
    </w:p>
    <w:p w14:paraId="0000001A" w14:textId="77777777" w:rsidR="00B20943" w:rsidRPr="00250F3D" w:rsidRDefault="00B20943">
      <w:pPr>
        <w:jc w:val="both"/>
        <w:rPr>
          <w:rFonts w:ascii="Univers" w:eastAsia="Open Sans" w:hAnsi="Univers" w:cs="Open Sans"/>
          <w:sz w:val="20"/>
          <w:szCs w:val="20"/>
        </w:rPr>
      </w:pPr>
    </w:p>
    <w:p w14:paraId="0000001B"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Sector Briefings and the Global Market Outlook inform, and are informed by, the Chamber's broader policy and advocacy work, providing an evidentiary basis for the positions the Chamber develops through its Global Policy Statements, position papers and regulatory engagement, and ensuring that the Chamber's institutional perspective remains grounded in current, verified conditions across the markets and sectors relevant to its membership.</w:t>
      </w:r>
    </w:p>
    <w:p w14:paraId="0000001C" w14:textId="77777777" w:rsidR="00B20943" w:rsidRPr="00250F3D" w:rsidRDefault="00B20943">
      <w:pPr>
        <w:jc w:val="both"/>
        <w:rPr>
          <w:rFonts w:ascii="Univers" w:eastAsia="Open Sans" w:hAnsi="Univers" w:cs="Open Sans"/>
          <w:b/>
          <w:bCs/>
          <w:sz w:val="20"/>
          <w:szCs w:val="20"/>
        </w:rPr>
      </w:pPr>
    </w:p>
    <w:p w14:paraId="0000001D" w14:textId="77777777" w:rsidR="00B20943" w:rsidRPr="00250F3D" w:rsidRDefault="00000000">
      <w:pPr>
        <w:jc w:val="both"/>
        <w:rPr>
          <w:rFonts w:ascii="Univers" w:eastAsia="Open Sans" w:hAnsi="Univers" w:cs="Open Sans"/>
          <w:b/>
          <w:bCs/>
          <w:sz w:val="24"/>
          <w:szCs w:val="24"/>
        </w:rPr>
      </w:pPr>
      <w:r w:rsidRPr="00250F3D">
        <w:rPr>
          <w:rFonts w:ascii="Univers" w:eastAsia="Open Sans" w:hAnsi="Univers" w:cs="Open Sans"/>
          <w:b/>
          <w:bCs/>
          <w:sz w:val="24"/>
          <w:szCs w:val="24"/>
        </w:rPr>
        <w:t>Trade &amp; Investment Intelligence</w:t>
      </w:r>
    </w:p>
    <w:p w14:paraId="0000001E" w14:textId="77777777" w:rsidR="00B20943" w:rsidRPr="00250F3D" w:rsidRDefault="00B20943">
      <w:pPr>
        <w:jc w:val="both"/>
        <w:rPr>
          <w:rFonts w:ascii="Univers" w:eastAsia="Open Sans" w:hAnsi="Univers" w:cs="Open Sans"/>
          <w:sz w:val="20"/>
          <w:szCs w:val="20"/>
        </w:rPr>
      </w:pPr>
    </w:p>
    <w:p w14:paraId="0000001F"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Trade &amp; Investment Intelligence provides members with focused analysis of the conditions, trends and regulatory developments specifically affecting cross-border trade flows and international investment activity. This area of the Chamber's research output addresses the practical intelligence needs of organisations engaged in trade and investment decisions, complementing the broader analytical scope of the Chamber's Reports and Global Market Outlook.</w:t>
      </w:r>
    </w:p>
    <w:p w14:paraId="00000020" w14:textId="77777777" w:rsidR="00B20943" w:rsidRPr="00250F3D" w:rsidRDefault="00B20943">
      <w:pPr>
        <w:jc w:val="both"/>
        <w:rPr>
          <w:rFonts w:ascii="Univers" w:eastAsia="Open Sans" w:hAnsi="Univers" w:cs="Open Sans"/>
          <w:sz w:val="20"/>
          <w:szCs w:val="20"/>
        </w:rPr>
      </w:pPr>
    </w:p>
    <w:p w14:paraId="00000021"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This intelligence function draws directly on the areas of focus established through the Chamber's Cross-Border Trade Facilitation Programs and Investment &amp; Market Access Initiatives, ensuring that the analysis produced is closely connected to the practical challenges and opportunities members encounter in their own cross-border trade and investment activity. Rather than treating research and program activity as separate functions, the Chamber's approach ensures that intelligence gathered through direct member engagement informs the analytical work available to the broader membership.</w:t>
      </w:r>
    </w:p>
    <w:p w14:paraId="00000022" w14:textId="77777777" w:rsidR="00B20943" w:rsidRPr="00250F3D" w:rsidRDefault="00B20943">
      <w:pPr>
        <w:jc w:val="both"/>
        <w:rPr>
          <w:rFonts w:ascii="Univers" w:eastAsia="Open Sans" w:hAnsi="Univers" w:cs="Open Sans"/>
          <w:sz w:val="20"/>
          <w:szCs w:val="20"/>
        </w:rPr>
      </w:pPr>
    </w:p>
    <w:p w14:paraId="00000023"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Trade &amp; Investment Intelligence addresses matters including regulatory developments affecting cross-border trade procedures, shifts in market access conditions across jurisdictions of relevance to members, and structural developments in international investment flows that carry implications for organisations considering cross-border capital deployment. This analysis is prepared with the jurisdictional specificity necessary to be genuinely useful to members operating across a range of regulatory environments, rather than presented as generalised commentary on global trade and investment conditions.</w:t>
      </w:r>
    </w:p>
    <w:p w14:paraId="00000024" w14:textId="77777777" w:rsidR="00B20943" w:rsidRPr="00250F3D" w:rsidRDefault="00B20943">
      <w:pPr>
        <w:jc w:val="both"/>
        <w:rPr>
          <w:rFonts w:ascii="Univers" w:eastAsia="Open Sans" w:hAnsi="Univers" w:cs="Open Sans"/>
          <w:sz w:val="20"/>
          <w:szCs w:val="20"/>
        </w:rPr>
      </w:pPr>
    </w:p>
    <w:p w14:paraId="00000025"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Given the pace at which trade and investment conditions can shift, particularly in response to regulatory change or geopolitical developments, this intelligence function is maintained on an ongoing basis, with material developments communicated to members in a manner consistent with their significance and urgency. This distinguishes Trade &amp; Investment Intelligence from the Chamber's more periodic research output, positioning it as a more immediate and operationally focused resource.</w:t>
      </w:r>
    </w:p>
    <w:p w14:paraId="00000026" w14:textId="77777777" w:rsidR="00B20943" w:rsidRPr="00250F3D" w:rsidRDefault="00B20943">
      <w:pPr>
        <w:jc w:val="both"/>
        <w:rPr>
          <w:rFonts w:ascii="Univers" w:eastAsia="Open Sans" w:hAnsi="Univers" w:cs="Open Sans"/>
          <w:sz w:val="20"/>
          <w:szCs w:val="20"/>
        </w:rPr>
      </w:pPr>
    </w:p>
    <w:p w14:paraId="00000027"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lastRenderedPageBreak/>
        <w:t xml:space="preserve">Trade &amp; Investment Intelligence is developed with the same standards of accuracy and verification applied throughout the Chamber's research and intelligence </w:t>
      </w:r>
      <w:proofErr w:type="gramStart"/>
      <w:r w:rsidRPr="00250F3D">
        <w:rPr>
          <w:rFonts w:ascii="Univers" w:eastAsia="Open Sans" w:hAnsi="Univers" w:cs="Open Sans"/>
          <w:sz w:val="20"/>
          <w:szCs w:val="20"/>
        </w:rPr>
        <w:t>function, and</w:t>
      </w:r>
      <w:proofErr w:type="gramEnd"/>
      <w:r w:rsidRPr="00250F3D">
        <w:rPr>
          <w:rFonts w:ascii="Univers" w:eastAsia="Open Sans" w:hAnsi="Univers" w:cs="Open Sans"/>
          <w:sz w:val="20"/>
          <w:szCs w:val="20"/>
        </w:rPr>
        <w:t xml:space="preserve"> is prepared in coordination with the Chamber's regulatory engagement and cross-jurisdictional coordination procedures where analysis touches on matters under active regulatory consideration, ensuring consistency between the Chamber's intelligence output and its broader institutional positions.</w:t>
      </w:r>
    </w:p>
    <w:p w14:paraId="00000028" w14:textId="77777777" w:rsidR="00B20943" w:rsidRPr="00250F3D" w:rsidRDefault="00B20943">
      <w:pPr>
        <w:jc w:val="both"/>
        <w:rPr>
          <w:rFonts w:ascii="Univers" w:eastAsia="Open Sans" w:hAnsi="Univers" w:cs="Open Sans"/>
          <w:b/>
          <w:bCs/>
          <w:sz w:val="20"/>
          <w:szCs w:val="20"/>
        </w:rPr>
      </w:pPr>
    </w:p>
    <w:p w14:paraId="00000029" w14:textId="77777777" w:rsidR="00B20943" w:rsidRPr="00250F3D" w:rsidRDefault="00000000">
      <w:pPr>
        <w:jc w:val="both"/>
        <w:rPr>
          <w:rFonts w:ascii="Univers" w:eastAsia="Open Sans" w:hAnsi="Univers" w:cs="Open Sans"/>
          <w:b/>
          <w:bCs/>
          <w:sz w:val="24"/>
          <w:szCs w:val="24"/>
        </w:rPr>
      </w:pPr>
      <w:r w:rsidRPr="00250F3D">
        <w:rPr>
          <w:rFonts w:ascii="Univers" w:eastAsia="Open Sans" w:hAnsi="Univers" w:cs="Open Sans"/>
          <w:b/>
          <w:bCs/>
          <w:sz w:val="24"/>
          <w:szCs w:val="24"/>
        </w:rPr>
        <w:t>White Papers &amp; Special Studies</w:t>
      </w:r>
    </w:p>
    <w:p w14:paraId="0000002A" w14:textId="77777777" w:rsidR="00B20943" w:rsidRPr="00250F3D" w:rsidRDefault="00B20943">
      <w:pPr>
        <w:jc w:val="both"/>
        <w:rPr>
          <w:rFonts w:ascii="Univers" w:eastAsia="Open Sans" w:hAnsi="Univers" w:cs="Open Sans"/>
          <w:sz w:val="20"/>
          <w:szCs w:val="20"/>
        </w:rPr>
      </w:pPr>
    </w:p>
    <w:p w14:paraId="0000002B"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White Papers &amp; Special Studies represent the most detailed and technically rigorous tier of the Chamber's research output, reserved for subjects that warrant sustained, in-depth examination beyond the scope of the Chamber's regular reports, briefings and intelligence updates. These publications reflect the Chamber's capacity to contribute substantive, original analysis to questions of significance within cross-border economic activity.</w:t>
      </w:r>
    </w:p>
    <w:p w14:paraId="0000002C" w14:textId="77777777" w:rsidR="00B20943" w:rsidRPr="00250F3D" w:rsidRDefault="00B20943">
      <w:pPr>
        <w:jc w:val="both"/>
        <w:rPr>
          <w:rFonts w:ascii="Univers" w:eastAsia="Open Sans" w:hAnsi="Univers" w:cs="Open Sans"/>
          <w:sz w:val="20"/>
          <w:szCs w:val="20"/>
        </w:rPr>
      </w:pPr>
    </w:p>
    <w:p w14:paraId="0000002D"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A white paper or special study is typically developed where a subject involves sufficient complexity, novelty or structural significance to justify an extended analytical treatment, such as an emerging regulatory framework with broad cross-border implications, a structural shift in a particular industry or market, or a question at the intersection of several of the Chamber's areas of focus, including sustainable development, technology and infrastructure. The decision to commission a white paper or special study reflects a considered assessment of the subject's significance to the Chamber's membership and broader mandate, rather than a routine publication schedule.</w:t>
      </w:r>
    </w:p>
    <w:p w14:paraId="0000002E" w14:textId="77777777" w:rsidR="00B20943" w:rsidRPr="00250F3D" w:rsidRDefault="00B20943">
      <w:pPr>
        <w:jc w:val="both"/>
        <w:rPr>
          <w:rFonts w:ascii="Univers" w:eastAsia="Open Sans" w:hAnsi="Univers" w:cs="Open Sans"/>
          <w:sz w:val="20"/>
          <w:szCs w:val="20"/>
        </w:rPr>
      </w:pPr>
    </w:p>
    <w:p w14:paraId="0000002F"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The development of a white paper or special study typically involves extended engagement with members possessing relevant expertise, consultation with institutional or academic counterparts where appropriate, and a level of internal review commensurate with the standing these publications carry within the Chamber's body of research. This process reflects the Chamber's understanding that a white paper, by its nature, is expected to serve as a durable reference on the subject it addresses, rather than a time-limited commentary.</w:t>
      </w:r>
    </w:p>
    <w:p w14:paraId="00000030" w14:textId="77777777" w:rsidR="00B20943" w:rsidRPr="00250F3D" w:rsidRDefault="00B20943">
      <w:pPr>
        <w:jc w:val="both"/>
        <w:rPr>
          <w:rFonts w:ascii="Univers" w:eastAsia="Open Sans" w:hAnsi="Univers" w:cs="Open Sans"/>
          <w:sz w:val="20"/>
          <w:szCs w:val="20"/>
        </w:rPr>
      </w:pPr>
    </w:p>
    <w:p w14:paraId="00000031"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White papers and special studies are prepared with full regard to the Chamber's institutional neutrality, ensuring that the analysis presented, however detailed, remains free from the influence of any individual member, sector or jurisdictional interest, consistent with the Institutional Independence &amp; Neutrality Policy.</w:t>
      </w:r>
    </w:p>
    <w:p w14:paraId="00000032" w14:textId="77777777" w:rsidR="00B20943" w:rsidRPr="00250F3D" w:rsidRDefault="00B20943">
      <w:pPr>
        <w:jc w:val="both"/>
        <w:rPr>
          <w:rFonts w:ascii="Univers" w:eastAsia="Open Sans" w:hAnsi="Univers" w:cs="Open Sans"/>
          <w:sz w:val="20"/>
          <w:szCs w:val="20"/>
        </w:rPr>
      </w:pPr>
    </w:p>
    <w:p w14:paraId="00000033"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Once published, white papers and special studies inform the Chamber's broader policy and advocacy work, providing the analytical foundation for subsequent position papers, regulatory engagement and, where warranted, Global Policy Statements, and serve as a lasting resource for members engaging with the subjects they address.</w:t>
      </w:r>
    </w:p>
    <w:p w14:paraId="00000034" w14:textId="77777777" w:rsidR="00B20943" w:rsidRPr="00250F3D" w:rsidRDefault="00B20943">
      <w:pPr>
        <w:jc w:val="both"/>
        <w:rPr>
          <w:rFonts w:ascii="Univers" w:eastAsia="Open Sans" w:hAnsi="Univers" w:cs="Open Sans"/>
          <w:b/>
          <w:bCs/>
          <w:sz w:val="20"/>
          <w:szCs w:val="20"/>
        </w:rPr>
      </w:pPr>
    </w:p>
    <w:p w14:paraId="00000035" w14:textId="77777777" w:rsidR="00B20943" w:rsidRPr="00250F3D" w:rsidRDefault="00000000">
      <w:pPr>
        <w:jc w:val="both"/>
        <w:rPr>
          <w:rFonts w:ascii="Univers" w:eastAsia="Open Sans" w:hAnsi="Univers" w:cs="Open Sans"/>
          <w:b/>
          <w:bCs/>
          <w:sz w:val="24"/>
          <w:szCs w:val="24"/>
        </w:rPr>
      </w:pPr>
      <w:r w:rsidRPr="00250F3D">
        <w:rPr>
          <w:rFonts w:ascii="Univers" w:eastAsia="Open Sans" w:hAnsi="Univers" w:cs="Open Sans"/>
          <w:b/>
          <w:bCs/>
          <w:sz w:val="24"/>
          <w:szCs w:val="24"/>
        </w:rPr>
        <w:t>Data, Indicators &amp; Benchmarking</w:t>
      </w:r>
    </w:p>
    <w:p w14:paraId="00000036" w14:textId="77777777" w:rsidR="00B20943" w:rsidRPr="00250F3D" w:rsidRDefault="00B20943">
      <w:pPr>
        <w:jc w:val="both"/>
        <w:rPr>
          <w:rFonts w:ascii="Univers" w:eastAsia="Open Sans" w:hAnsi="Univers" w:cs="Open Sans"/>
          <w:sz w:val="20"/>
          <w:szCs w:val="20"/>
        </w:rPr>
      </w:pPr>
    </w:p>
    <w:p w14:paraId="00000037"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Data, Indicators &amp; Benchmarking provides members with access to structured quantitative resources that support informed decision-making in cross-border commercial activity, complementing the qualitative and analytical work found elsewhere in the Chamber's research and intelligence function.</w:t>
      </w:r>
    </w:p>
    <w:p w14:paraId="00000038" w14:textId="77777777" w:rsidR="00B20943" w:rsidRPr="00250F3D" w:rsidRDefault="00B20943">
      <w:pPr>
        <w:jc w:val="both"/>
        <w:rPr>
          <w:rFonts w:ascii="Univers" w:eastAsia="Open Sans" w:hAnsi="Univers" w:cs="Open Sans"/>
          <w:sz w:val="20"/>
          <w:szCs w:val="20"/>
        </w:rPr>
      </w:pPr>
    </w:p>
    <w:p w14:paraId="00000039"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This area of the Chamber's work involves the identification, verification and presentation of data and indicators relevant to the economic, regulatory and market conditions of greatest significance to members, drawing on a range of credible sources and, where appropriate, data gathered through the Chamber's own programs and member engagement. The Chamber applies particular care to the verification of data presented under its institutional name, recognising that the credibility of its indicators and benchmarks depends entirely on their accuracy and the transparency of the methodology used to produce them.</w:t>
      </w:r>
    </w:p>
    <w:p w14:paraId="0000003A" w14:textId="77777777" w:rsidR="00B20943" w:rsidRPr="00250F3D" w:rsidRDefault="00B20943">
      <w:pPr>
        <w:jc w:val="both"/>
        <w:rPr>
          <w:rFonts w:ascii="Univers" w:eastAsia="Open Sans" w:hAnsi="Univers" w:cs="Open Sans"/>
          <w:sz w:val="20"/>
          <w:szCs w:val="20"/>
        </w:rPr>
      </w:pPr>
    </w:p>
    <w:p w14:paraId="0000003B"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 xml:space="preserve">Benchmarking resources allow members to assess conditions </w:t>
      </w:r>
      <w:proofErr w:type="gramStart"/>
      <w:r w:rsidRPr="00250F3D">
        <w:rPr>
          <w:rFonts w:ascii="Univers" w:eastAsia="Open Sans" w:hAnsi="Univers" w:cs="Open Sans"/>
          <w:sz w:val="20"/>
          <w:szCs w:val="20"/>
        </w:rPr>
        <w:t>in a given</w:t>
      </w:r>
      <w:proofErr w:type="gramEnd"/>
      <w:r w:rsidRPr="00250F3D">
        <w:rPr>
          <w:rFonts w:ascii="Univers" w:eastAsia="Open Sans" w:hAnsi="Univers" w:cs="Open Sans"/>
          <w:sz w:val="20"/>
          <w:szCs w:val="20"/>
        </w:rPr>
        <w:t xml:space="preserve"> market, sector or regulatory environment against comparable jurisdictions or historical trends, supporting more precise and better-informed strategic and operational decisions than general commentary alone can provide. This comparative dimension is treated as a core value of the Chamber's data function, reflecting the practical reality that cross-border decision-making frequently requires understanding how conditions in one jurisdiction compare to those in another.</w:t>
      </w:r>
    </w:p>
    <w:p w14:paraId="0000003C" w14:textId="77777777" w:rsidR="00B20943" w:rsidRPr="00250F3D" w:rsidRDefault="00B20943">
      <w:pPr>
        <w:jc w:val="both"/>
        <w:rPr>
          <w:rFonts w:ascii="Univers" w:eastAsia="Open Sans" w:hAnsi="Univers" w:cs="Open Sans"/>
          <w:sz w:val="20"/>
          <w:szCs w:val="20"/>
        </w:rPr>
      </w:pPr>
    </w:p>
    <w:p w14:paraId="0000003D"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Indicators developed or curated by the Chamber are presented with clear reference to their methodology, sources and limitations, consistent with the Chamber's broader institutional commitment to transparency and intellectual honesty in its research output. Where an indicator or dataset informs a position taken elsewhere in the Chamber's policy or advocacy work, that connection is made clear, ensuring that the Chamber's quantitative and analytical output remain mutually consistent.</w:t>
      </w:r>
    </w:p>
    <w:p w14:paraId="0000003E" w14:textId="77777777" w:rsidR="00B20943" w:rsidRPr="00250F3D" w:rsidRDefault="00B20943">
      <w:pPr>
        <w:jc w:val="both"/>
        <w:rPr>
          <w:rFonts w:ascii="Univers" w:eastAsia="Open Sans" w:hAnsi="Univers" w:cs="Open Sans"/>
          <w:sz w:val="20"/>
          <w:szCs w:val="20"/>
        </w:rPr>
      </w:pPr>
    </w:p>
    <w:p w14:paraId="0000003F" w14:textId="77777777" w:rsidR="00B20943" w:rsidRPr="00250F3D" w:rsidRDefault="00000000">
      <w:pPr>
        <w:jc w:val="both"/>
        <w:rPr>
          <w:rFonts w:ascii="Univers" w:eastAsia="Open Sans" w:hAnsi="Univers" w:cs="Open Sans"/>
          <w:sz w:val="20"/>
          <w:szCs w:val="20"/>
        </w:rPr>
      </w:pPr>
      <w:r w:rsidRPr="00250F3D">
        <w:rPr>
          <w:rFonts w:ascii="Univers" w:eastAsia="Open Sans" w:hAnsi="Univers" w:cs="Open Sans"/>
          <w:sz w:val="20"/>
          <w:szCs w:val="20"/>
        </w:rPr>
        <w:t>Data, Indicators &amp; Benchmarking resources are reviewed and updated on a defined cycle to maintain their currency and reliability, reflecting the Chamber's recognition that quantitative resources lose their value quickly if not maintained with the same discipline applied to their initial development.</w:t>
      </w:r>
    </w:p>
    <w:p w14:paraId="00000040" w14:textId="77777777" w:rsidR="00B20943" w:rsidRPr="00250F3D" w:rsidRDefault="00B20943">
      <w:pPr>
        <w:jc w:val="both"/>
        <w:rPr>
          <w:rFonts w:ascii="Univers" w:eastAsia="Open Sans" w:hAnsi="Univers" w:cs="Open Sans"/>
          <w:sz w:val="20"/>
          <w:szCs w:val="20"/>
        </w:rPr>
      </w:pPr>
    </w:p>
    <w:sectPr w:rsidR="00B20943" w:rsidRPr="00250F3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ED52016-C5AF-48F0-946F-92DDF40D5C0D}"/>
    <w:embedItalic r:id="rId2" w:fontKey="{002CD6A2-1306-4B39-8D53-E98EA1893DD5}"/>
  </w:font>
  <w:font w:name="Play">
    <w:charset w:val="00"/>
    <w:family w:val="auto"/>
    <w:pitch w:val="default"/>
    <w:embedRegular r:id="rId3" w:fontKey="{E6C9900A-3298-4A83-8031-CD21E949AE76}"/>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A80C7BBB-A821-410E-A716-A6678DF5B2F0}"/>
    <w:embedBold r:id="rId5" w:fontKey="{8405709D-3ABD-4C59-A978-2AB39B6AA468}"/>
  </w:font>
  <w:font w:name="Open Sans">
    <w:charset w:val="00"/>
    <w:family w:val="swiss"/>
    <w:pitch w:val="variable"/>
    <w:sig w:usb0="E00002EF" w:usb1="4000205B" w:usb2="00000028" w:usb3="00000000" w:csb0="0000019F" w:csb1="00000000"/>
    <w:embedRegular r:id="rId6" w:fontKey="{7B186A0F-7920-44E7-8351-40FFEFBC6249}"/>
    <w:embedBold r:id="rId7" w:fontKey="{4ED6F82F-3C3C-4631-B0EE-C3E471E6FC38}"/>
  </w:font>
  <w:font w:name="Calibri">
    <w:panose1 w:val="020F0502020204030204"/>
    <w:charset w:val="00"/>
    <w:family w:val="swiss"/>
    <w:pitch w:val="variable"/>
    <w:sig w:usb0="E4002EFF" w:usb1="C200247B" w:usb2="00000009" w:usb3="00000000" w:csb0="000001FF" w:csb1="00000000"/>
    <w:embedRegular r:id="rId8" w:fontKey="{7E852086-9FC7-4432-86A9-BE204E1A0917}"/>
  </w:font>
  <w:font w:name="Cambria">
    <w:panose1 w:val="02040503050406030204"/>
    <w:charset w:val="00"/>
    <w:family w:val="roman"/>
    <w:pitch w:val="variable"/>
    <w:sig w:usb0="E00006FF" w:usb1="420024FF" w:usb2="02000000" w:usb3="00000000" w:csb0="0000019F" w:csb1="00000000"/>
    <w:embedRegular r:id="rId9" w:fontKey="{C009030F-3B8F-47FE-A1CD-4997158AE2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943"/>
    <w:rsid w:val="00250F3D"/>
    <w:rsid w:val="004014FE"/>
    <w:rsid w:val="00B209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789CDD-7806-4D59-AD8D-C7743343B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q952Ll36rnG0mRbdrLfBgrl3A==">CgMxLjA4AHIhMTZZQk0xTzlkclAzamxueU9hckJkTkNjLTFHY0ZSWTJK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1859</Words>
  <Characters>10599</Characters>
  <Application>Microsoft Office Word</Application>
  <DocSecurity>0</DocSecurity>
  <Lines>88</Lines>
  <Paragraphs>24</Paragraphs>
  <ScaleCrop>false</ScaleCrop>
  <Company>Department of Education</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2026-07-23T09:47:00Z</dcterms:created>
  <dcterms:modified xsi:type="dcterms:W3CDTF">2026-07-23T09:47:00Z</dcterms:modified>
</cp:coreProperties>
</file>