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55C9" w:rsidRPr="00011332" w:rsidRDefault="00000000">
      <w:pPr>
        <w:jc w:val="center"/>
        <w:rPr>
          <w:rFonts w:ascii="Univers" w:eastAsia="Open Sans" w:hAnsi="Univers" w:cs="Open Sans"/>
          <w:b/>
          <w:bCs/>
          <w:sz w:val="24"/>
          <w:szCs w:val="24"/>
        </w:rPr>
      </w:pPr>
      <w:r w:rsidRPr="00011332">
        <w:rPr>
          <w:rFonts w:ascii="Univers" w:eastAsia="Open Sans" w:hAnsi="Univers" w:cs="Open Sans"/>
          <w:b/>
          <w:bCs/>
          <w:sz w:val="24"/>
          <w:szCs w:val="24"/>
        </w:rPr>
        <w:t>EVENTS AND DIPLOMATIC FORUMS</w:t>
      </w:r>
    </w:p>
    <w:p w14:paraId="00000002" w14:textId="77777777" w:rsidR="009355C9" w:rsidRPr="00011332" w:rsidRDefault="009355C9">
      <w:pPr>
        <w:tabs>
          <w:tab w:val="left" w:pos="930"/>
        </w:tabs>
        <w:rPr>
          <w:rFonts w:ascii="Univers" w:eastAsia="Open Sans" w:hAnsi="Univers" w:cs="Open Sans"/>
          <w:sz w:val="20"/>
          <w:szCs w:val="20"/>
        </w:rPr>
      </w:pPr>
    </w:p>
    <w:p w14:paraId="00000003" w14:textId="77777777" w:rsidR="009355C9" w:rsidRPr="00011332" w:rsidRDefault="00000000">
      <w:pPr>
        <w:jc w:val="both"/>
        <w:rPr>
          <w:rFonts w:ascii="Univers" w:eastAsia="Open Sans" w:hAnsi="Univers" w:cs="Open Sans"/>
          <w:b/>
          <w:bCs/>
          <w:sz w:val="20"/>
          <w:szCs w:val="20"/>
        </w:rPr>
      </w:pPr>
      <w:r w:rsidRPr="00011332">
        <w:rPr>
          <w:rFonts w:ascii="Univers" w:eastAsia="Open Sans" w:hAnsi="Univers" w:cs="Open Sans"/>
          <w:b/>
          <w:bCs/>
          <w:sz w:val="20"/>
          <w:szCs w:val="20"/>
        </w:rPr>
        <w:t>The World Economic Chamber convenes members, government counterparts and institutional partners through a structured calendar of summits, forums, roundtables and briefings, each designed to support substantive cross-border engagement consistent with the Chamber's institutional standards.</w:t>
      </w:r>
    </w:p>
    <w:p w14:paraId="00000004" w14:textId="77777777" w:rsidR="009355C9" w:rsidRPr="00011332" w:rsidRDefault="009355C9">
      <w:pPr>
        <w:jc w:val="both"/>
        <w:rPr>
          <w:rFonts w:ascii="Univers" w:eastAsia="Open Sans" w:hAnsi="Univers" w:cs="Open Sans"/>
          <w:sz w:val="20"/>
          <w:szCs w:val="20"/>
        </w:rPr>
      </w:pPr>
    </w:p>
    <w:p w14:paraId="00000005" w14:textId="77777777" w:rsidR="009355C9" w:rsidRPr="00011332" w:rsidRDefault="00000000">
      <w:pPr>
        <w:jc w:val="both"/>
        <w:rPr>
          <w:rFonts w:ascii="Univers" w:eastAsia="Open Sans" w:hAnsi="Univers" w:cs="Open Sans"/>
          <w:b/>
          <w:bCs/>
          <w:sz w:val="24"/>
          <w:szCs w:val="24"/>
        </w:rPr>
      </w:pPr>
      <w:r w:rsidRPr="00011332">
        <w:rPr>
          <w:rFonts w:ascii="Univers" w:eastAsia="Open Sans" w:hAnsi="Univers" w:cs="Open Sans"/>
          <w:b/>
          <w:bCs/>
          <w:sz w:val="24"/>
          <w:szCs w:val="24"/>
        </w:rPr>
        <w:t>World Economic Chamber Annual Summit</w:t>
      </w:r>
    </w:p>
    <w:p w14:paraId="00000006" w14:textId="77777777" w:rsidR="009355C9" w:rsidRPr="00011332" w:rsidRDefault="009355C9">
      <w:pPr>
        <w:jc w:val="both"/>
        <w:rPr>
          <w:rFonts w:ascii="Univers" w:eastAsia="Open Sans" w:hAnsi="Univers" w:cs="Open Sans"/>
          <w:sz w:val="20"/>
          <w:szCs w:val="20"/>
        </w:rPr>
      </w:pPr>
    </w:p>
    <w:p w14:paraId="00000007"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The World Economic Chamber Annual Summit is the Chamber's principal convening, bringing together members, government representatives and institutional counterparts for sustained engagement on the cross-border economic questions of greatest significance to the Chamber's mandate. The Summit is structured to reflect the seriousness of the Chamber's broader institutional work, prioritising substantive dialogue over ceremonial proceedings.</w:t>
      </w:r>
    </w:p>
    <w:p w14:paraId="00000008" w14:textId="77777777" w:rsidR="009355C9" w:rsidRPr="00011332" w:rsidRDefault="009355C9">
      <w:pPr>
        <w:jc w:val="both"/>
        <w:rPr>
          <w:rFonts w:ascii="Univers" w:eastAsia="Open Sans" w:hAnsi="Univers" w:cs="Open Sans"/>
          <w:sz w:val="20"/>
          <w:szCs w:val="20"/>
        </w:rPr>
      </w:pPr>
    </w:p>
    <w:p w14:paraId="00000009"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The Summit's agenda is developed with reference to the Chamber's current areas of policy and program focus, ensuring that discussion is grounded in the analytical work produced through the Chamber's research and intelligence function and directly connected to the initiatives underway across the Chamber's Programs &amp; Initiatives. Sessions are structured to allow genuine exchange between participants representing different sectors, jurisdictions and institutional perspectives, consistent with the Chamber's broader commitment to constructive internationalism.</w:t>
      </w:r>
    </w:p>
    <w:p w14:paraId="0000000A" w14:textId="77777777" w:rsidR="009355C9" w:rsidRPr="00011332" w:rsidRDefault="009355C9">
      <w:pPr>
        <w:jc w:val="both"/>
        <w:rPr>
          <w:rFonts w:ascii="Univers" w:eastAsia="Open Sans" w:hAnsi="Univers" w:cs="Open Sans"/>
          <w:sz w:val="20"/>
          <w:szCs w:val="20"/>
        </w:rPr>
      </w:pPr>
    </w:p>
    <w:p w14:paraId="0000000B"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Participation in the Summit reflects the composition of the Chamber's membership, drawing together multinational corporations, financial institutions, NGOs and government bodies in a setting designed to support the kind of cross-sector dialogue that the Chamber's mandate is built around. Government and institutional counterparts are invited to participate consistent with the Chamber's International Liaison &amp; Government Relations and Diplomatic &amp; Multilateral Engagement Channels, ensuring that the Summit maintains the institutional standing appropriate to its role as the Chamber's flagship convening.</w:t>
      </w:r>
    </w:p>
    <w:p w14:paraId="0000000C" w14:textId="77777777" w:rsidR="009355C9" w:rsidRPr="00011332" w:rsidRDefault="009355C9">
      <w:pPr>
        <w:jc w:val="both"/>
        <w:rPr>
          <w:rFonts w:ascii="Univers" w:eastAsia="Open Sans" w:hAnsi="Univers" w:cs="Open Sans"/>
          <w:sz w:val="20"/>
          <w:szCs w:val="20"/>
        </w:rPr>
      </w:pPr>
    </w:p>
    <w:p w14:paraId="0000000D"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Discussions and outcomes arising from the Summit inform the Chamber's subsequent work, including the development of position papers, Global Policy Statements and program priorities for the period ahead, ensuring that the Summit functions as a substantive input into the Chamber's institutional activity rather than a standalone event disconnected from its broader work.</w:t>
      </w:r>
    </w:p>
    <w:p w14:paraId="0000000E" w14:textId="77777777" w:rsidR="009355C9" w:rsidRPr="00011332" w:rsidRDefault="009355C9">
      <w:pPr>
        <w:jc w:val="both"/>
        <w:rPr>
          <w:rFonts w:ascii="Univers" w:eastAsia="Open Sans" w:hAnsi="Univers" w:cs="Open Sans"/>
          <w:sz w:val="20"/>
          <w:szCs w:val="20"/>
        </w:rPr>
      </w:pPr>
    </w:p>
    <w:p w14:paraId="0000000F"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The Summit is conducted in accordance with the Chamber's governance and documentation standards, with proceedings and outcomes recorded consistent with the Record-Keeping &amp; Documentation Standards, preserving an accurate institutional account of the discussions held and any commitments or conclusions reached. Details regarding the Summit's location, agenda and participation are communicated to members through the Chamber's designated channels ahead of each convening.</w:t>
      </w:r>
    </w:p>
    <w:p w14:paraId="00000010" w14:textId="77777777" w:rsidR="009355C9" w:rsidRPr="00011332" w:rsidRDefault="009355C9">
      <w:pPr>
        <w:jc w:val="both"/>
        <w:rPr>
          <w:rFonts w:ascii="Univers" w:eastAsia="Open Sans" w:hAnsi="Univers" w:cs="Open Sans"/>
          <w:sz w:val="20"/>
          <w:szCs w:val="20"/>
        </w:rPr>
      </w:pPr>
    </w:p>
    <w:p w14:paraId="00000011" w14:textId="77777777" w:rsidR="009355C9" w:rsidRPr="00011332" w:rsidRDefault="00000000">
      <w:pPr>
        <w:jc w:val="both"/>
        <w:rPr>
          <w:rFonts w:ascii="Univers" w:eastAsia="Open Sans" w:hAnsi="Univers" w:cs="Open Sans"/>
          <w:b/>
          <w:bCs/>
          <w:sz w:val="24"/>
          <w:szCs w:val="24"/>
        </w:rPr>
      </w:pPr>
      <w:r w:rsidRPr="00011332">
        <w:rPr>
          <w:rFonts w:ascii="Univers" w:eastAsia="Open Sans" w:hAnsi="Univers" w:cs="Open Sans"/>
          <w:b/>
          <w:bCs/>
          <w:sz w:val="24"/>
          <w:szCs w:val="24"/>
        </w:rPr>
        <w:t>Regional Economic Forums</w:t>
      </w:r>
    </w:p>
    <w:p w14:paraId="00000012" w14:textId="77777777" w:rsidR="009355C9" w:rsidRPr="00011332" w:rsidRDefault="009355C9">
      <w:pPr>
        <w:jc w:val="both"/>
        <w:rPr>
          <w:rFonts w:ascii="Univers" w:eastAsia="Open Sans" w:hAnsi="Univers" w:cs="Open Sans"/>
          <w:sz w:val="20"/>
          <w:szCs w:val="20"/>
        </w:rPr>
      </w:pPr>
    </w:p>
    <w:p w14:paraId="00000013"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Regional Economic Forums provide a structured setting for engagement on the economic and regulatory conditions of specific regions, complementing the global scope of the Annual Summit with analysis and dialogue calibrated to regional context. These forums reflect the Chamber's Regional Engagement Framework, translating the Chamber's global mandate into engagement that is informed by, and responsive to, the distinct conditions of the region concerned.</w:t>
      </w:r>
    </w:p>
    <w:p w14:paraId="00000014" w14:textId="77777777" w:rsidR="009355C9" w:rsidRPr="00011332" w:rsidRDefault="009355C9">
      <w:pPr>
        <w:jc w:val="both"/>
        <w:rPr>
          <w:rFonts w:ascii="Univers" w:eastAsia="Open Sans" w:hAnsi="Univers" w:cs="Open Sans"/>
          <w:sz w:val="20"/>
          <w:szCs w:val="20"/>
        </w:rPr>
      </w:pPr>
    </w:p>
    <w:p w14:paraId="00000015"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 xml:space="preserve">Each Regional Economic Forum is developed in coordination with the Executive Secretariat and, where applicable, the Chamber's regional presence, ensuring that the forum's agenda reflects genuine regional priorities rather than a generic template applied uniformly across regions. </w:t>
      </w:r>
      <w:r w:rsidRPr="00011332">
        <w:rPr>
          <w:rFonts w:ascii="Univers" w:eastAsia="Open Sans" w:hAnsi="Univers" w:cs="Open Sans"/>
          <w:sz w:val="20"/>
          <w:szCs w:val="20"/>
        </w:rPr>
        <w:lastRenderedPageBreak/>
        <w:t>Discussion topics are informed by the Chamber's Global Market Outlook &amp; Sector Briefings and by direct member engagement within the region, ensuring that forum content is grounded in current, verified conditions.</w:t>
      </w:r>
    </w:p>
    <w:p w14:paraId="00000016" w14:textId="77777777" w:rsidR="009355C9" w:rsidRPr="00011332" w:rsidRDefault="009355C9">
      <w:pPr>
        <w:jc w:val="both"/>
        <w:rPr>
          <w:rFonts w:ascii="Univers" w:eastAsia="Open Sans" w:hAnsi="Univers" w:cs="Open Sans"/>
          <w:sz w:val="20"/>
          <w:szCs w:val="20"/>
        </w:rPr>
      </w:pPr>
    </w:p>
    <w:p w14:paraId="00000017"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Participation in Regional Economic Forums draws on the Chamber's members with relevant regional exposure, alongside government bodies, regulators and institutional counterparts whose participation strengthens the forum's relevance and credibility within the region concerned. This composition allows Regional Economic Forums to serve as a genuine point of connection between the Chamber's global membership and the specific institutional and regulatory environment of the region under discussion.</w:t>
      </w:r>
    </w:p>
    <w:p w14:paraId="00000018" w14:textId="77777777" w:rsidR="009355C9" w:rsidRPr="00011332" w:rsidRDefault="009355C9">
      <w:pPr>
        <w:jc w:val="both"/>
        <w:rPr>
          <w:rFonts w:ascii="Univers" w:eastAsia="Open Sans" w:hAnsi="Univers" w:cs="Open Sans"/>
          <w:sz w:val="20"/>
          <w:szCs w:val="20"/>
        </w:rPr>
      </w:pPr>
    </w:p>
    <w:p w14:paraId="00000019"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Regional Economic Forums are conducted consistent with the Cross-Border Engagement Standards and the Cross-Jurisdictional Consultation &amp; Coordination Procedures, ensuring that any positions or discussions arising from a forum remain consistent with the Chamber's broader institutional stance, even as forum content is adapted to reflect regional specificity.</w:t>
      </w:r>
    </w:p>
    <w:p w14:paraId="0000001A" w14:textId="77777777" w:rsidR="009355C9" w:rsidRPr="00011332" w:rsidRDefault="009355C9">
      <w:pPr>
        <w:jc w:val="both"/>
        <w:rPr>
          <w:rFonts w:ascii="Univers" w:eastAsia="Open Sans" w:hAnsi="Univers" w:cs="Open Sans"/>
          <w:sz w:val="20"/>
          <w:szCs w:val="20"/>
        </w:rPr>
      </w:pPr>
    </w:p>
    <w:p w14:paraId="0000001B"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Outcomes from Regional Economic Forums contribute to the Chamber's understanding of regional conditions and priorities, informing the Chamber's ongoing regional engagement work and, where relevant, its broader policy and program development. As with the Chamber's other convenings, proceedings are documented in accordance with the Record-Keeping &amp; Documentation Standards, ensuring that the insights and commitments arising from each forum are preserved as part of the Chamber's institutional record.</w:t>
      </w:r>
    </w:p>
    <w:p w14:paraId="0000001C" w14:textId="77777777" w:rsidR="009355C9" w:rsidRPr="00011332" w:rsidRDefault="009355C9">
      <w:pPr>
        <w:jc w:val="both"/>
        <w:rPr>
          <w:rFonts w:ascii="Univers" w:eastAsia="Open Sans" w:hAnsi="Univers" w:cs="Open Sans"/>
          <w:sz w:val="20"/>
          <w:szCs w:val="20"/>
        </w:rPr>
      </w:pPr>
    </w:p>
    <w:p w14:paraId="0000001D" w14:textId="77777777" w:rsidR="009355C9" w:rsidRPr="00011332" w:rsidRDefault="00000000">
      <w:pPr>
        <w:jc w:val="both"/>
        <w:rPr>
          <w:rFonts w:ascii="Univers" w:eastAsia="Open Sans" w:hAnsi="Univers" w:cs="Open Sans"/>
          <w:b/>
          <w:bCs/>
          <w:sz w:val="24"/>
          <w:szCs w:val="24"/>
        </w:rPr>
      </w:pPr>
      <w:r w:rsidRPr="00011332">
        <w:rPr>
          <w:rFonts w:ascii="Univers" w:eastAsia="Open Sans" w:hAnsi="Univers" w:cs="Open Sans"/>
          <w:b/>
          <w:bCs/>
          <w:sz w:val="24"/>
          <w:szCs w:val="24"/>
        </w:rPr>
        <w:t>Executive Roundtables &amp; Delegations</w:t>
      </w:r>
    </w:p>
    <w:p w14:paraId="0000001E" w14:textId="77777777" w:rsidR="009355C9" w:rsidRPr="00011332" w:rsidRDefault="009355C9">
      <w:pPr>
        <w:jc w:val="both"/>
        <w:rPr>
          <w:rFonts w:ascii="Univers" w:eastAsia="Open Sans" w:hAnsi="Univers" w:cs="Open Sans"/>
          <w:sz w:val="20"/>
          <w:szCs w:val="20"/>
        </w:rPr>
      </w:pPr>
    </w:p>
    <w:p w14:paraId="0000001F"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Executive Roundtables &amp; Delegations provide a more focused and intimate format for engagement than the Chamber's larger convenings, designed for detailed discussion among a smaller group of senior representatives on specific matters of institutional or strategic significance. This format reflects the Chamber's recognition that certain subjects are better served by concentrated, confidential discussion than by the broader participation appropriate to summits and regional forums.</w:t>
      </w:r>
    </w:p>
    <w:p w14:paraId="00000020" w14:textId="77777777" w:rsidR="009355C9" w:rsidRPr="00011332" w:rsidRDefault="009355C9">
      <w:pPr>
        <w:jc w:val="both"/>
        <w:rPr>
          <w:rFonts w:ascii="Univers" w:eastAsia="Open Sans" w:hAnsi="Univers" w:cs="Open Sans"/>
          <w:sz w:val="20"/>
          <w:szCs w:val="20"/>
        </w:rPr>
      </w:pPr>
    </w:p>
    <w:p w14:paraId="00000021"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Executive Roundtables typically bring together senior representatives from member organisations, and, where relevant, government or regulatory counterparts, to examine a defined subject in depth, consistent with the analytical foundation provided by the Chamber's research and intelligence function. The smaller, more controlled format of a roundtable allows for a candour and specificity of discussion that larger convenings do not always accommodate, making roundtables particularly suited to sensitive regulatory questions, emerging market conditions, or matters within the Chamber's Infrastructure &amp; Strategic Industries Forum.</w:t>
      </w:r>
    </w:p>
    <w:p w14:paraId="00000022" w14:textId="77777777" w:rsidR="009355C9" w:rsidRPr="00011332" w:rsidRDefault="009355C9">
      <w:pPr>
        <w:jc w:val="both"/>
        <w:rPr>
          <w:rFonts w:ascii="Univers" w:eastAsia="Open Sans" w:hAnsi="Univers" w:cs="Open Sans"/>
          <w:sz w:val="20"/>
          <w:szCs w:val="20"/>
        </w:rPr>
      </w:pPr>
    </w:p>
    <w:p w14:paraId="00000023"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Delegations represent a further extension of this focused engagement model, involving a structured group of Chamber representatives, typically drawn from senior leadership and relevant members, engaging directly with government bodies, regulators or institutional counterparts in a specific jurisdiction. Delegations are conducted consistent with the Chamber's International Liaison &amp; Government Relations and Cross-Border Engagement Standards, ensuring that this more direct form of engagement is subject to the same institutional discipline applied to the Chamber's other cross-border activity.</w:t>
      </w:r>
    </w:p>
    <w:p w14:paraId="00000024" w14:textId="77777777" w:rsidR="009355C9" w:rsidRPr="00011332" w:rsidRDefault="009355C9">
      <w:pPr>
        <w:jc w:val="both"/>
        <w:rPr>
          <w:rFonts w:ascii="Univers" w:eastAsia="Open Sans" w:hAnsi="Univers" w:cs="Open Sans"/>
          <w:sz w:val="20"/>
          <w:szCs w:val="20"/>
        </w:rPr>
      </w:pPr>
    </w:p>
    <w:p w14:paraId="00000025"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Both roundtables and delegations require careful preparation, consistent with the standards applied to the Chamber's regulatory meetings and diplomatic engagement, given the seniority of participants typically involved and the sensitivity often attached to the subjects under discussion. Authorisation and briefing of participating representatives follow the Chamber's established governance procedures.</w:t>
      </w:r>
    </w:p>
    <w:p w14:paraId="00000026" w14:textId="77777777" w:rsidR="009355C9" w:rsidRPr="00011332" w:rsidRDefault="009355C9">
      <w:pPr>
        <w:jc w:val="both"/>
        <w:rPr>
          <w:rFonts w:ascii="Univers" w:eastAsia="Open Sans" w:hAnsi="Univers" w:cs="Open Sans"/>
          <w:sz w:val="20"/>
          <w:szCs w:val="20"/>
        </w:rPr>
      </w:pPr>
    </w:p>
    <w:p w14:paraId="00000027"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 xml:space="preserve">Outcomes from roundtables and delegations are documented in accordance with the Record-Keeping &amp; Documentation Standards, and, where material, inform the Chamber's broader policy </w:t>
      </w:r>
      <w:r w:rsidRPr="00011332">
        <w:rPr>
          <w:rFonts w:ascii="Univers" w:eastAsia="Open Sans" w:hAnsi="Univers" w:cs="Open Sans"/>
          <w:sz w:val="20"/>
          <w:szCs w:val="20"/>
        </w:rPr>
        <w:lastRenderedPageBreak/>
        <w:t>work, program development and regulatory engagement, ensuring that the insight generated through these more concentrated forms of engagement contributes to the Chamber's wider institutional knowledge.</w:t>
      </w:r>
    </w:p>
    <w:p w14:paraId="00000028" w14:textId="77777777" w:rsidR="009355C9" w:rsidRPr="00011332" w:rsidRDefault="009355C9">
      <w:pPr>
        <w:jc w:val="both"/>
        <w:rPr>
          <w:rFonts w:ascii="Univers" w:eastAsia="Open Sans" w:hAnsi="Univers" w:cs="Open Sans"/>
          <w:sz w:val="20"/>
          <w:szCs w:val="20"/>
        </w:rPr>
      </w:pPr>
    </w:p>
    <w:p w14:paraId="00000029" w14:textId="77777777" w:rsidR="009355C9" w:rsidRPr="00011332" w:rsidRDefault="00000000">
      <w:pPr>
        <w:jc w:val="both"/>
        <w:rPr>
          <w:rFonts w:ascii="Univers" w:eastAsia="Open Sans" w:hAnsi="Univers" w:cs="Open Sans"/>
          <w:b/>
          <w:bCs/>
          <w:sz w:val="24"/>
          <w:szCs w:val="24"/>
        </w:rPr>
      </w:pPr>
      <w:r w:rsidRPr="00011332">
        <w:rPr>
          <w:rFonts w:ascii="Univers" w:eastAsia="Open Sans" w:hAnsi="Univers" w:cs="Open Sans"/>
          <w:b/>
          <w:bCs/>
          <w:sz w:val="24"/>
          <w:szCs w:val="24"/>
        </w:rPr>
        <w:t>Workshops, Briefings &amp; Webinars</w:t>
      </w:r>
    </w:p>
    <w:p w14:paraId="0000002A" w14:textId="77777777" w:rsidR="009355C9" w:rsidRPr="00011332" w:rsidRDefault="009355C9">
      <w:pPr>
        <w:jc w:val="both"/>
        <w:rPr>
          <w:rFonts w:ascii="Univers" w:eastAsia="Open Sans" w:hAnsi="Univers" w:cs="Open Sans"/>
          <w:sz w:val="20"/>
          <w:szCs w:val="20"/>
        </w:rPr>
      </w:pPr>
    </w:p>
    <w:p w14:paraId="0000002B"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 xml:space="preserve">Workshops, Briefings &amp; Webinars provide members with structured access to the Chamber's analytical and policy work through formats designed for regular, accessible engagement, complementing the larger and more infrequent convenings represented by the Summit and Regional Economic Forums. This area of the Chamber's activity reflects the recognition that meaningful member engagement requires touchpoints throughout the year, </w:t>
      </w:r>
      <w:proofErr w:type="gramStart"/>
      <w:r w:rsidRPr="00011332">
        <w:rPr>
          <w:rFonts w:ascii="Univers" w:eastAsia="Open Sans" w:hAnsi="Univers" w:cs="Open Sans"/>
          <w:sz w:val="20"/>
          <w:szCs w:val="20"/>
        </w:rPr>
        <w:t>not only at</w:t>
      </w:r>
      <w:proofErr w:type="gramEnd"/>
      <w:r w:rsidRPr="00011332">
        <w:rPr>
          <w:rFonts w:ascii="Univers" w:eastAsia="Open Sans" w:hAnsi="Univers" w:cs="Open Sans"/>
          <w:sz w:val="20"/>
          <w:szCs w:val="20"/>
        </w:rPr>
        <w:t xml:space="preserve"> major convenings.</w:t>
      </w:r>
    </w:p>
    <w:p w14:paraId="0000002C" w14:textId="77777777" w:rsidR="009355C9" w:rsidRPr="00011332" w:rsidRDefault="009355C9">
      <w:pPr>
        <w:jc w:val="both"/>
        <w:rPr>
          <w:rFonts w:ascii="Univers" w:eastAsia="Open Sans" w:hAnsi="Univers" w:cs="Open Sans"/>
          <w:sz w:val="20"/>
          <w:szCs w:val="20"/>
        </w:rPr>
      </w:pPr>
    </w:p>
    <w:p w14:paraId="0000002D"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 xml:space="preserve">Workshops provide a more participatory format, typically focused on a specific practical subject relevant to members' cross-border activity, such as navigating a particular regulatory framework or engaging with the Chamber's programs </w:t>
      </w:r>
      <w:proofErr w:type="gramStart"/>
      <w:r w:rsidRPr="00011332">
        <w:rPr>
          <w:rFonts w:ascii="Univers" w:eastAsia="Open Sans" w:hAnsi="Univers" w:cs="Open Sans"/>
          <w:sz w:val="20"/>
          <w:szCs w:val="20"/>
        </w:rPr>
        <w:t>in a given</w:t>
      </w:r>
      <w:proofErr w:type="gramEnd"/>
      <w:r w:rsidRPr="00011332">
        <w:rPr>
          <w:rFonts w:ascii="Univers" w:eastAsia="Open Sans" w:hAnsi="Univers" w:cs="Open Sans"/>
          <w:sz w:val="20"/>
          <w:szCs w:val="20"/>
        </w:rPr>
        <w:t xml:space="preserve"> area of focus. Workshops are designed to support direct application of the Chamber's analytical work to members' own operational and strategic considerations, consistent with the practical orientation of the Chamber's Programs &amp; Initiatives.</w:t>
      </w:r>
    </w:p>
    <w:p w14:paraId="0000002E" w14:textId="77777777" w:rsidR="009355C9" w:rsidRPr="00011332" w:rsidRDefault="009355C9">
      <w:pPr>
        <w:jc w:val="both"/>
        <w:rPr>
          <w:rFonts w:ascii="Univers" w:eastAsia="Open Sans" w:hAnsi="Univers" w:cs="Open Sans"/>
          <w:sz w:val="20"/>
          <w:szCs w:val="20"/>
        </w:rPr>
      </w:pPr>
    </w:p>
    <w:p w14:paraId="0000002F"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Briefings offer a more concise format, typically focused on communicating a specific development, whether regulatory, economic or institutional, of relevance to members. Briefings draw directly on the Chamber's Global Market Outlook &amp; Sector Briefings and Trade &amp; Investment Intelligence functions, ensuring that members receive timely, verified information on matters affecting their cross-border activity.</w:t>
      </w:r>
    </w:p>
    <w:p w14:paraId="00000030" w14:textId="77777777" w:rsidR="009355C9" w:rsidRPr="00011332" w:rsidRDefault="009355C9">
      <w:pPr>
        <w:jc w:val="both"/>
        <w:rPr>
          <w:rFonts w:ascii="Univers" w:eastAsia="Open Sans" w:hAnsi="Univers" w:cs="Open Sans"/>
          <w:sz w:val="20"/>
          <w:szCs w:val="20"/>
        </w:rPr>
      </w:pPr>
    </w:p>
    <w:p w14:paraId="00000031"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Webinars extend the reach of the Chamber's workshops and briefings to members unable to participate in person, reflecting the Chamber's commitment to ensuring that the value of membership is accessible across its geographically dispersed membership base. Webinars are conducted with the same standard of preparation and institutional discipline applied to the Chamber's other engagement formats, notwithstanding their more accessible delivery.</w:t>
      </w:r>
    </w:p>
    <w:p w14:paraId="00000032" w14:textId="77777777" w:rsidR="009355C9" w:rsidRPr="00011332" w:rsidRDefault="009355C9">
      <w:pPr>
        <w:jc w:val="both"/>
        <w:rPr>
          <w:rFonts w:ascii="Univers" w:eastAsia="Open Sans" w:hAnsi="Univers" w:cs="Open Sans"/>
          <w:sz w:val="20"/>
          <w:szCs w:val="20"/>
        </w:rPr>
      </w:pPr>
    </w:p>
    <w:p w14:paraId="00000033"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Across all three formats, content is developed and delivered consistent with the Chamber's governance and documentation standards, and material insights or questions arising from these sessions inform the Chamber's ongoing research, policy and program development, ensuring that this more frequent and accessible tier of engagement remains substantively connected to the Chamber's broader institutional work.</w:t>
      </w:r>
    </w:p>
    <w:p w14:paraId="00000036" w14:textId="77777777" w:rsidR="009355C9" w:rsidRPr="00011332" w:rsidRDefault="009355C9">
      <w:pPr>
        <w:jc w:val="both"/>
        <w:rPr>
          <w:rFonts w:ascii="Univers" w:eastAsia="Open Sans" w:hAnsi="Univers" w:cs="Open Sans"/>
          <w:sz w:val="20"/>
          <w:szCs w:val="20"/>
        </w:rPr>
      </w:pPr>
    </w:p>
    <w:p w14:paraId="00000037" w14:textId="77777777" w:rsidR="009355C9" w:rsidRPr="00011332" w:rsidRDefault="00000000">
      <w:pPr>
        <w:jc w:val="both"/>
        <w:rPr>
          <w:rFonts w:ascii="Univers" w:eastAsia="Open Sans" w:hAnsi="Univers" w:cs="Open Sans"/>
          <w:b/>
          <w:bCs/>
          <w:sz w:val="24"/>
          <w:szCs w:val="24"/>
        </w:rPr>
      </w:pPr>
      <w:r w:rsidRPr="00011332">
        <w:rPr>
          <w:rFonts w:ascii="Univers" w:eastAsia="Open Sans" w:hAnsi="Univers" w:cs="Open Sans"/>
          <w:b/>
          <w:bCs/>
          <w:sz w:val="24"/>
          <w:szCs w:val="24"/>
        </w:rPr>
        <w:t>Calendar of Events</w:t>
      </w:r>
    </w:p>
    <w:p w14:paraId="00000038" w14:textId="77777777" w:rsidR="009355C9" w:rsidRPr="00011332" w:rsidRDefault="009355C9">
      <w:pPr>
        <w:jc w:val="both"/>
        <w:rPr>
          <w:rFonts w:ascii="Univers" w:eastAsia="Open Sans" w:hAnsi="Univers" w:cs="Open Sans"/>
          <w:sz w:val="20"/>
          <w:szCs w:val="20"/>
        </w:rPr>
      </w:pPr>
    </w:p>
    <w:p w14:paraId="00000039"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The Calendar of Events provides members with a consolidated, current reference to the Chamber's scheduled convenings, including the Annual Summit, Regional Economic Forums, Executive Roundtables, Delegations, Workshops, Briefings and Webinars, supporting members' ability to plan participation across the Chamber's full program of engagement.</w:t>
      </w:r>
    </w:p>
    <w:p w14:paraId="0000003A" w14:textId="77777777" w:rsidR="009355C9" w:rsidRPr="00011332" w:rsidRDefault="009355C9">
      <w:pPr>
        <w:jc w:val="both"/>
        <w:rPr>
          <w:rFonts w:ascii="Univers" w:eastAsia="Open Sans" w:hAnsi="Univers" w:cs="Open Sans"/>
          <w:sz w:val="20"/>
          <w:szCs w:val="20"/>
        </w:rPr>
      </w:pPr>
    </w:p>
    <w:p w14:paraId="0000003B"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The Calendar is maintained by the Executive Secretariat and updated on an ongoing basis to reflect confirmed dates, newly scheduled events and any changes to previously announced convenings, consistent with the Chamber's broader commitment to accurate and current institutional communication. Members are encouraged to consult the Calendar regularly given the range of formats and frequency of engagement opportunities the Chamber provides across its full activity.</w:t>
      </w:r>
    </w:p>
    <w:p w14:paraId="0000003C" w14:textId="77777777" w:rsidR="009355C9" w:rsidRPr="00011332" w:rsidRDefault="009355C9">
      <w:pPr>
        <w:jc w:val="both"/>
        <w:rPr>
          <w:rFonts w:ascii="Univers" w:eastAsia="Open Sans" w:hAnsi="Univers" w:cs="Open Sans"/>
          <w:sz w:val="20"/>
          <w:szCs w:val="20"/>
        </w:rPr>
      </w:pPr>
    </w:p>
    <w:p w14:paraId="0000003D"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 xml:space="preserve">Each entry in the Calendar provides members with the information required to assess relevance and plan participation, including the format and general subject matter of the convening, its intended audience within the Chamber's membership, and the jurisdiction or region concerned </w:t>
      </w:r>
      <w:r w:rsidRPr="00011332">
        <w:rPr>
          <w:rFonts w:ascii="Univers" w:eastAsia="Open Sans" w:hAnsi="Univers" w:cs="Open Sans"/>
          <w:sz w:val="20"/>
          <w:szCs w:val="20"/>
        </w:rPr>
        <w:lastRenderedPageBreak/>
        <w:t>where applicable. This structured presentation reflects the Chamber's broader institutional practice of ensuring that engagement opportunities are communicated with sufficient specificity to support informed member participation.</w:t>
      </w:r>
    </w:p>
    <w:p w14:paraId="0000003E" w14:textId="77777777" w:rsidR="009355C9" w:rsidRPr="00011332" w:rsidRDefault="009355C9">
      <w:pPr>
        <w:jc w:val="both"/>
        <w:rPr>
          <w:rFonts w:ascii="Univers" w:eastAsia="Open Sans" w:hAnsi="Univers" w:cs="Open Sans"/>
          <w:sz w:val="20"/>
          <w:szCs w:val="20"/>
        </w:rPr>
      </w:pPr>
    </w:p>
    <w:p w14:paraId="0000003F"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Where an event is developed in connection with a specific program, forum or initiative, the Calendar entry reflects that connection, allowing members to understand how a given convening relates to the Chamber's broader areas of focus, including its Programs &amp; Initiatives, Policy &amp; Advocacy work, and Research &amp; Intelligence output. This integration reinforces the Chamber's broader institutional approach, in which its events function as a coherent part of its overall program of activity rather than as a separate calendar of standalone occasions.</w:t>
      </w:r>
    </w:p>
    <w:p w14:paraId="00000040" w14:textId="77777777" w:rsidR="009355C9" w:rsidRPr="00011332" w:rsidRDefault="009355C9">
      <w:pPr>
        <w:jc w:val="both"/>
        <w:rPr>
          <w:rFonts w:ascii="Univers" w:eastAsia="Open Sans" w:hAnsi="Univers" w:cs="Open Sans"/>
          <w:sz w:val="20"/>
          <w:szCs w:val="20"/>
        </w:rPr>
      </w:pPr>
    </w:p>
    <w:p w14:paraId="00000041" w14:textId="77777777" w:rsidR="009355C9" w:rsidRPr="00011332" w:rsidRDefault="00000000">
      <w:pPr>
        <w:jc w:val="both"/>
        <w:rPr>
          <w:rFonts w:ascii="Univers" w:eastAsia="Open Sans" w:hAnsi="Univers" w:cs="Open Sans"/>
          <w:sz w:val="20"/>
          <w:szCs w:val="20"/>
        </w:rPr>
      </w:pPr>
      <w:r w:rsidRPr="00011332">
        <w:rPr>
          <w:rFonts w:ascii="Univers" w:eastAsia="Open Sans" w:hAnsi="Univers" w:cs="Open Sans"/>
          <w:sz w:val="20"/>
          <w:szCs w:val="20"/>
        </w:rPr>
        <w:t>Members seeking further information about a specific event, including participation requirements or logistical details, may contact the Executive Secretariat through the Chamber's designated member communication channels. The Calendar is reviewed periodically to ensure it accurately reflects the Chamber's full and current program of convenings across all regions and engagement formats.</w:t>
      </w:r>
    </w:p>
    <w:p w14:paraId="00000042" w14:textId="77777777" w:rsidR="009355C9" w:rsidRPr="00011332" w:rsidRDefault="009355C9">
      <w:pPr>
        <w:jc w:val="both"/>
        <w:rPr>
          <w:rFonts w:ascii="Univers" w:eastAsia="Open Sans" w:hAnsi="Univers" w:cs="Open Sans"/>
          <w:sz w:val="20"/>
          <w:szCs w:val="20"/>
        </w:rPr>
      </w:pPr>
    </w:p>
    <w:p w14:paraId="00000043" w14:textId="77777777" w:rsidR="009355C9" w:rsidRPr="00011332" w:rsidRDefault="009355C9">
      <w:pPr>
        <w:rPr>
          <w:rFonts w:ascii="Univers" w:eastAsia="Open Sans" w:hAnsi="Univers" w:cs="Open Sans"/>
          <w:sz w:val="20"/>
          <w:szCs w:val="20"/>
        </w:rPr>
      </w:pPr>
    </w:p>
    <w:sectPr w:rsidR="009355C9" w:rsidRPr="0001133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AC048C4-DAC8-4283-9304-DA60E42641DB}"/>
    <w:embedItalic r:id="rId2" w:fontKey="{55C4BB21-C252-45DD-80A7-A68C5AB204DE}"/>
  </w:font>
  <w:font w:name="Play">
    <w:charset w:val="00"/>
    <w:family w:val="auto"/>
    <w:pitch w:val="default"/>
    <w:embedRegular r:id="rId3" w:fontKey="{E823BFDB-82DD-48B8-BEBC-2ABFB6062B44}"/>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0A042EC7-2B6B-4835-B517-997D36A86327}"/>
    <w:embedBold r:id="rId5" w:fontKey="{4D7ED7A3-ACC2-4356-9417-E1A791A65B62}"/>
  </w:font>
  <w:font w:name="Open Sans">
    <w:charset w:val="00"/>
    <w:family w:val="swiss"/>
    <w:pitch w:val="variable"/>
    <w:sig w:usb0="E00002EF" w:usb1="4000205B" w:usb2="00000028" w:usb3="00000000" w:csb0="0000019F" w:csb1="00000000"/>
    <w:embedRegular r:id="rId6" w:fontKey="{02830E6B-B62B-4B93-A3E8-1CE4792F6A18}"/>
    <w:embedBold r:id="rId7" w:fontKey="{68401323-A08B-4F95-A3FC-569BD783739E}"/>
  </w:font>
  <w:font w:name="Calibri">
    <w:panose1 w:val="020F0502020204030204"/>
    <w:charset w:val="00"/>
    <w:family w:val="swiss"/>
    <w:pitch w:val="variable"/>
    <w:sig w:usb0="E4002EFF" w:usb1="C200247B" w:usb2="00000009" w:usb3="00000000" w:csb0="000001FF" w:csb1="00000000"/>
    <w:embedRegular r:id="rId8" w:fontKey="{E7B1BE25-7182-4669-A260-7380AD442B29}"/>
  </w:font>
  <w:font w:name="Cambria">
    <w:panose1 w:val="02040503050406030204"/>
    <w:charset w:val="00"/>
    <w:family w:val="roman"/>
    <w:pitch w:val="variable"/>
    <w:sig w:usb0="E00006FF" w:usb1="420024FF" w:usb2="02000000" w:usb3="00000000" w:csb0="0000019F" w:csb1="00000000"/>
    <w:embedRegular r:id="rId9" w:fontKey="{DCE40EDB-D42E-4AA1-B4C8-0522EC6EA6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5C9"/>
    <w:rsid w:val="00011332"/>
    <w:rsid w:val="000E4C46"/>
    <w:rsid w:val="009355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B1388"/>
  <w15:docId w15:val="{CA404810-37E3-423D-B4AD-E91A3053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ZZP/2wpA9VU+lFBd0Ctifr5yQ==">CgMxLjA4AHIhMXBoWVdrdmt2aFppM2p0T0trckxJdjQtVHN5M3J0b0tz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1822</Words>
  <Characters>10391</Characters>
  <Application>Microsoft Office Word</Application>
  <DocSecurity>0</DocSecurity>
  <Lines>86</Lines>
  <Paragraphs>24</Paragraphs>
  <ScaleCrop>false</ScaleCrop>
  <Company>Department of Education</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2026-07-23T09:48:00Z</dcterms:created>
  <dcterms:modified xsi:type="dcterms:W3CDTF">2026-07-23T09:48:00Z</dcterms:modified>
</cp:coreProperties>
</file>