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2B16" w:rsidRPr="00D21A58" w:rsidRDefault="00000000">
      <w:pPr>
        <w:jc w:val="center"/>
        <w:rPr>
          <w:rFonts w:ascii="Univers" w:eastAsia="Open Sans" w:hAnsi="Univers" w:cs="Open Sans"/>
          <w:b/>
          <w:bCs/>
          <w:sz w:val="24"/>
          <w:szCs w:val="24"/>
        </w:rPr>
      </w:pPr>
      <w:r w:rsidRPr="00D21A58">
        <w:rPr>
          <w:rFonts w:ascii="Univers" w:eastAsia="Open Sans" w:hAnsi="Univers" w:cs="Open Sans"/>
          <w:b/>
          <w:bCs/>
          <w:sz w:val="24"/>
          <w:szCs w:val="24"/>
        </w:rPr>
        <w:t>PARTNERSHIPS AND AFFILIATIONS</w:t>
      </w:r>
    </w:p>
    <w:p w14:paraId="00000002" w14:textId="77777777" w:rsidR="00612B16" w:rsidRPr="00D21A58" w:rsidRDefault="00612B16">
      <w:pPr>
        <w:rPr>
          <w:rFonts w:ascii="Univers" w:eastAsia="Open Sans" w:hAnsi="Univers" w:cs="Open Sans"/>
          <w:sz w:val="20"/>
          <w:szCs w:val="20"/>
        </w:rPr>
      </w:pPr>
    </w:p>
    <w:p w14:paraId="00000003" w14:textId="77777777" w:rsidR="00612B16" w:rsidRPr="00D21A58" w:rsidRDefault="00000000">
      <w:pPr>
        <w:jc w:val="both"/>
        <w:rPr>
          <w:rFonts w:ascii="Univers" w:eastAsia="Open Sans" w:hAnsi="Univers" w:cs="Open Sans"/>
          <w:b/>
          <w:bCs/>
          <w:sz w:val="20"/>
          <w:szCs w:val="20"/>
        </w:rPr>
      </w:pPr>
      <w:r w:rsidRPr="00D21A58">
        <w:rPr>
          <w:rFonts w:ascii="Univers" w:eastAsia="Open Sans" w:hAnsi="Univers" w:cs="Open Sans"/>
          <w:b/>
          <w:bCs/>
          <w:sz w:val="20"/>
          <w:szCs w:val="20"/>
        </w:rPr>
        <w:t>The World Economic Chamber builds and maintains its institutional relationships through a structured framework of partnerships and affiliations, ensuring that collaboration with other organisations strengthens, rather than complicates, the Chamber's independence and credibility.</w:t>
      </w:r>
    </w:p>
    <w:p w14:paraId="00000004" w14:textId="77777777" w:rsidR="00612B16" w:rsidRPr="00D21A58" w:rsidRDefault="00612B16">
      <w:pPr>
        <w:jc w:val="both"/>
        <w:rPr>
          <w:rFonts w:ascii="Univers" w:eastAsia="Open Sans" w:hAnsi="Univers" w:cs="Open Sans"/>
          <w:b/>
          <w:bCs/>
          <w:sz w:val="20"/>
          <w:szCs w:val="20"/>
        </w:rPr>
      </w:pPr>
    </w:p>
    <w:p w14:paraId="00000005" w14:textId="77777777" w:rsidR="00612B16" w:rsidRPr="00D21A58" w:rsidRDefault="00000000">
      <w:pPr>
        <w:jc w:val="both"/>
        <w:rPr>
          <w:rFonts w:ascii="Univers" w:eastAsia="Open Sans" w:hAnsi="Univers" w:cs="Open Sans"/>
          <w:b/>
          <w:bCs/>
          <w:sz w:val="24"/>
          <w:szCs w:val="24"/>
        </w:rPr>
      </w:pPr>
      <w:r w:rsidRPr="00D21A58">
        <w:rPr>
          <w:rFonts w:ascii="Univers" w:eastAsia="Open Sans" w:hAnsi="Univers" w:cs="Open Sans"/>
          <w:b/>
          <w:bCs/>
          <w:sz w:val="24"/>
          <w:szCs w:val="24"/>
        </w:rPr>
        <w:t>Strategic Partnership Framework</w:t>
      </w:r>
    </w:p>
    <w:p w14:paraId="00000006" w14:textId="77777777" w:rsidR="00612B16" w:rsidRPr="00D21A58" w:rsidRDefault="00612B16">
      <w:pPr>
        <w:jc w:val="both"/>
        <w:rPr>
          <w:rFonts w:ascii="Univers" w:eastAsia="Open Sans" w:hAnsi="Univers" w:cs="Open Sans"/>
          <w:sz w:val="20"/>
          <w:szCs w:val="20"/>
        </w:rPr>
      </w:pPr>
    </w:p>
    <w:p w14:paraId="00000007"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The Strategic Partnership Framework sets out how the World Economic Chamber identifies, establishes and maintains formal partnerships with other institutions whose mandate or activity intersects meaningfully with the Chamber's own work. It provides the structural discipline required of an organisation whose credibility depends on ensuring that its partnerships reinforce, rather than dilute, its institutional independence.</w:t>
      </w:r>
    </w:p>
    <w:p w14:paraId="00000008" w14:textId="77777777" w:rsidR="00612B16" w:rsidRPr="00D21A58" w:rsidRDefault="00612B16">
      <w:pPr>
        <w:jc w:val="both"/>
        <w:rPr>
          <w:rFonts w:ascii="Univers" w:eastAsia="Open Sans" w:hAnsi="Univers" w:cs="Open Sans"/>
          <w:sz w:val="20"/>
          <w:szCs w:val="20"/>
        </w:rPr>
      </w:pPr>
    </w:p>
    <w:p w14:paraId="00000009"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A prospective strategic partnership is assessed against criteria consistent with the Chamber's founding principles, including the counterpart institution's standing, its alignment with the Chamber's commitment to responsible cross-border economic engagement, and the extent to which a formal relationship would genuinely strengthen the Chamber's capacity to serve its members and mandate. The Chamber does not pursue partnerships for the sake of institutional breadth; each relationship is expected to serve a defined and articulable purpose.</w:t>
      </w:r>
    </w:p>
    <w:p w14:paraId="0000000A" w14:textId="77777777" w:rsidR="00612B16" w:rsidRPr="00D21A58" w:rsidRDefault="00612B16">
      <w:pPr>
        <w:jc w:val="both"/>
        <w:rPr>
          <w:rFonts w:ascii="Univers" w:eastAsia="Open Sans" w:hAnsi="Univers" w:cs="Open Sans"/>
          <w:sz w:val="20"/>
          <w:szCs w:val="20"/>
        </w:rPr>
      </w:pPr>
    </w:p>
    <w:p w14:paraId="0000000B"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Once a partnership is established, it is governed by terms that are documented in accordance with the Chamber's governance standards, consistent with the International Cooperation &amp; Liaison Protocols and, where relevant, the International Cooperation Agreements maintained across the Chamber's broader institutional relationships. These terms clarify the respective roles, responsibilities and expectations of each party, ensuring that a partnership does not develop ambiguity over time regarding what each institution is, and is not, committed to.</w:t>
      </w:r>
    </w:p>
    <w:p w14:paraId="0000000C" w14:textId="77777777" w:rsidR="00612B16" w:rsidRPr="00D21A58" w:rsidRDefault="00612B16">
      <w:pPr>
        <w:jc w:val="both"/>
        <w:rPr>
          <w:rFonts w:ascii="Univers" w:eastAsia="Open Sans" w:hAnsi="Univers" w:cs="Open Sans"/>
          <w:sz w:val="20"/>
          <w:szCs w:val="20"/>
        </w:rPr>
      </w:pPr>
    </w:p>
    <w:p w14:paraId="0000000D"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The Framework places particular emphasis on preserving the Chamber's Institutional Independence &amp; Neutrality Policy throughout the life of a partnership. Strategic partnerships are structured to avoid any arrangement that could compromise the Chamber's impartiality or create a perception that the Chamber's positions are shaped by a particular partner's interests, consistent with the safeguards applied across the Chamber's governance architecture.</w:t>
      </w:r>
    </w:p>
    <w:p w14:paraId="0000000E" w14:textId="77777777" w:rsidR="00612B16" w:rsidRPr="00D21A58" w:rsidRDefault="00612B16">
      <w:pPr>
        <w:jc w:val="both"/>
        <w:rPr>
          <w:rFonts w:ascii="Univers" w:eastAsia="Open Sans" w:hAnsi="Univers" w:cs="Open Sans"/>
          <w:sz w:val="20"/>
          <w:szCs w:val="20"/>
        </w:rPr>
      </w:pPr>
    </w:p>
    <w:p w14:paraId="0000000F"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Strategic partnerships are reviewed periodically to confirm that the relationship continues to serve its original purpose and remains consistent with the Chamber's institutional standards. Where a partnership no longer meets these conditions, the Framework provides for its review, modification or conclusion, reflecting the Chamber's broader institutional discipline: that partnerships are maintained on the basis of ongoing relevance and alignment, not institutional inertia.</w:t>
      </w:r>
    </w:p>
    <w:p w14:paraId="00000010" w14:textId="77777777" w:rsidR="00612B16" w:rsidRPr="00D21A58" w:rsidRDefault="00612B16">
      <w:pPr>
        <w:jc w:val="both"/>
        <w:rPr>
          <w:rFonts w:ascii="Univers" w:eastAsia="Open Sans" w:hAnsi="Univers" w:cs="Open Sans"/>
          <w:b/>
          <w:bCs/>
          <w:sz w:val="20"/>
          <w:szCs w:val="20"/>
        </w:rPr>
      </w:pPr>
    </w:p>
    <w:p w14:paraId="00000011" w14:textId="77777777" w:rsidR="00612B16" w:rsidRPr="00D21A58" w:rsidRDefault="00000000">
      <w:pPr>
        <w:jc w:val="both"/>
        <w:rPr>
          <w:rFonts w:ascii="Univers" w:eastAsia="Open Sans" w:hAnsi="Univers" w:cs="Open Sans"/>
          <w:b/>
          <w:bCs/>
          <w:sz w:val="24"/>
          <w:szCs w:val="24"/>
        </w:rPr>
      </w:pPr>
      <w:r w:rsidRPr="00D21A58">
        <w:rPr>
          <w:rFonts w:ascii="Univers" w:eastAsia="Open Sans" w:hAnsi="Univers" w:cs="Open Sans"/>
          <w:b/>
          <w:bCs/>
          <w:sz w:val="24"/>
          <w:szCs w:val="24"/>
        </w:rPr>
        <w:t>Institutional Collaborations</w:t>
      </w:r>
    </w:p>
    <w:p w14:paraId="00000012" w14:textId="77777777" w:rsidR="00612B16" w:rsidRPr="00D21A58" w:rsidRDefault="00612B16">
      <w:pPr>
        <w:jc w:val="both"/>
        <w:rPr>
          <w:rFonts w:ascii="Univers" w:eastAsia="Open Sans" w:hAnsi="Univers" w:cs="Open Sans"/>
          <w:sz w:val="20"/>
          <w:szCs w:val="20"/>
        </w:rPr>
      </w:pPr>
    </w:p>
    <w:p w14:paraId="00000013"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Institutional Collaborations describes the Chamber's structured engagement with other multinational institutions, industry bodies and cross-border organisations on matters of shared relevance, extending the Chamber's capacity to contribute to, and draw upon, a broader network of institutional expertise and perspective.</w:t>
      </w:r>
    </w:p>
    <w:p w14:paraId="00000014" w14:textId="77777777" w:rsidR="00612B16" w:rsidRPr="00D21A58" w:rsidRDefault="00612B16">
      <w:pPr>
        <w:jc w:val="both"/>
        <w:rPr>
          <w:rFonts w:ascii="Univers" w:eastAsia="Open Sans" w:hAnsi="Univers" w:cs="Open Sans"/>
          <w:sz w:val="20"/>
          <w:szCs w:val="20"/>
        </w:rPr>
      </w:pPr>
    </w:p>
    <w:p w14:paraId="00000015"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Collaborations of this kind are typically narrower in scope than a formal strategic partnership, often focused on a specific initiative, program area or shared area of interest rather than an extended institutional relationship. This distinction allows the Chamber to engage constructively with a wider range of institutional counterparts than would be practical under the more formal terms applied to strategic partnerships, while maintaining appropriate discipline over how such collaboration is conducted.</w:t>
      </w:r>
    </w:p>
    <w:p w14:paraId="00000016" w14:textId="77777777" w:rsidR="00612B16" w:rsidRPr="00D21A58" w:rsidRDefault="00612B16">
      <w:pPr>
        <w:jc w:val="both"/>
        <w:rPr>
          <w:rFonts w:ascii="Univers" w:eastAsia="Open Sans" w:hAnsi="Univers" w:cs="Open Sans"/>
          <w:sz w:val="20"/>
          <w:szCs w:val="20"/>
        </w:rPr>
      </w:pPr>
    </w:p>
    <w:p w14:paraId="00000017"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Institutional Collaborations frequently intersect with the Chamber's Programs &amp; Initiatives, providing additional expertise, reach or institutional credibility to work undertaken in areas such as trade facilitation, sustainable development or infrastructure. Where a collaboration supports a specific Chamber program, its scope and terms are documented to ensure clarity regarding the respective contributions and responsibilities of the Chamber and its collaborating institution.</w:t>
      </w:r>
    </w:p>
    <w:p w14:paraId="00000018" w14:textId="77777777" w:rsidR="00612B16" w:rsidRPr="00D21A58" w:rsidRDefault="00612B16">
      <w:pPr>
        <w:jc w:val="both"/>
        <w:rPr>
          <w:rFonts w:ascii="Univers" w:eastAsia="Open Sans" w:hAnsi="Univers" w:cs="Open Sans"/>
          <w:sz w:val="20"/>
          <w:szCs w:val="20"/>
        </w:rPr>
      </w:pPr>
    </w:p>
    <w:p w14:paraId="00000019"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As with all forms of external engagement, Institutional Collaborations are conducted consistent with the Chamber's Institutional Independence &amp; Neutrality Policy, ensuring that collaborative activity does not compromise the Chamber's impartiality or create the appearance that its work has been shaped by a collaborating institution's particular interests. Collaborations involving institutions based in, or with material activity within, a specific jurisdiction are conducted with regard to the Cross-Border Engagement Standards applicable to that jurisdiction.</w:t>
      </w:r>
    </w:p>
    <w:p w14:paraId="0000001A" w14:textId="77777777" w:rsidR="00612B16" w:rsidRPr="00D21A58" w:rsidRDefault="00612B16">
      <w:pPr>
        <w:jc w:val="both"/>
        <w:rPr>
          <w:rFonts w:ascii="Univers" w:eastAsia="Open Sans" w:hAnsi="Univers" w:cs="Open Sans"/>
          <w:sz w:val="20"/>
          <w:szCs w:val="20"/>
        </w:rPr>
      </w:pPr>
    </w:p>
    <w:p w14:paraId="0000001B"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The Chamber maintains a record of its active Institutional Collaborations in accordance with the Record-Keeping &amp; Documentation Standards, ensuring that collaborative activity is tracked, reviewed and, where appropriate, formalised into a more structured partnership as the relationship develops. This graduated approach allows the Chamber to build institutional relationships methodically, reflecting the same measured discipline applied throughout its broader engagement model.</w:t>
      </w:r>
    </w:p>
    <w:p w14:paraId="0000001C" w14:textId="77777777" w:rsidR="00612B16" w:rsidRPr="00D21A58" w:rsidRDefault="00612B16">
      <w:pPr>
        <w:jc w:val="both"/>
        <w:rPr>
          <w:rFonts w:ascii="Univers" w:eastAsia="Open Sans" w:hAnsi="Univers" w:cs="Open Sans"/>
          <w:b/>
          <w:bCs/>
          <w:sz w:val="20"/>
          <w:szCs w:val="20"/>
        </w:rPr>
      </w:pPr>
    </w:p>
    <w:p w14:paraId="0000001D" w14:textId="77777777" w:rsidR="00612B16" w:rsidRPr="00D21A58" w:rsidRDefault="00000000">
      <w:pPr>
        <w:jc w:val="both"/>
        <w:rPr>
          <w:rFonts w:ascii="Univers" w:eastAsia="Open Sans" w:hAnsi="Univers" w:cs="Open Sans"/>
          <w:b/>
          <w:bCs/>
          <w:sz w:val="24"/>
          <w:szCs w:val="24"/>
        </w:rPr>
      </w:pPr>
      <w:r w:rsidRPr="00D21A58">
        <w:rPr>
          <w:rFonts w:ascii="Univers" w:eastAsia="Open Sans" w:hAnsi="Univers" w:cs="Open Sans"/>
          <w:b/>
          <w:bCs/>
          <w:sz w:val="24"/>
          <w:szCs w:val="24"/>
        </w:rPr>
        <w:t>Academic &amp; Research Affiliations</w:t>
      </w:r>
    </w:p>
    <w:p w14:paraId="0000001E" w14:textId="77777777" w:rsidR="00612B16" w:rsidRPr="00D21A58" w:rsidRDefault="00612B16">
      <w:pPr>
        <w:jc w:val="both"/>
        <w:rPr>
          <w:rFonts w:ascii="Univers" w:eastAsia="Open Sans" w:hAnsi="Univers" w:cs="Open Sans"/>
          <w:sz w:val="20"/>
          <w:szCs w:val="20"/>
        </w:rPr>
      </w:pPr>
    </w:p>
    <w:p w14:paraId="0000001F"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Academic &amp; Research Affiliations describe the Chamber's engagement with universities, research institutions and other academic bodies whose work intersects with the Chamber's mandate, strengthening the analytical foundation of the Chamber's research and intelligence output through access to independent scholarly expertise.</w:t>
      </w:r>
    </w:p>
    <w:p w14:paraId="00000020" w14:textId="77777777" w:rsidR="00612B16" w:rsidRPr="00D21A58" w:rsidRDefault="00612B16">
      <w:pPr>
        <w:jc w:val="both"/>
        <w:rPr>
          <w:rFonts w:ascii="Univers" w:eastAsia="Open Sans" w:hAnsi="Univers" w:cs="Open Sans"/>
          <w:sz w:val="20"/>
          <w:szCs w:val="20"/>
        </w:rPr>
      </w:pPr>
    </w:p>
    <w:p w14:paraId="00000021"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These affiliations reflect the Chamber's recognition that credible institutional research benefits from engagement with academic perspectives that are, by design, independent of commercial or political interest. Affiliations with academic and research institutions provide the Chamber with access to specialised expertise across the range of subjects addressed through its World Economic Chamber Reports, White Papers &amp; Special Studies and other research output, supporting a standard of analytical rigour that internal resources alone may not always achieve.</w:t>
      </w:r>
    </w:p>
    <w:p w14:paraId="00000022" w14:textId="77777777" w:rsidR="00612B16" w:rsidRPr="00D21A58" w:rsidRDefault="00612B16">
      <w:pPr>
        <w:jc w:val="both"/>
        <w:rPr>
          <w:rFonts w:ascii="Univers" w:eastAsia="Open Sans" w:hAnsi="Univers" w:cs="Open Sans"/>
          <w:sz w:val="20"/>
          <w:szCs w:val="20"/>
        </w:rPr>
      </w:pPr>
    </w:p>
    <w:p w14:paraId="00000023"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Academic affiliations may take a range of forms, including consultation with individual researchers or academic bodies in the development of a specific report or study, structured engagement with a research institution on a matter of sustained relevance to the Chamber's work, or participation by academic representatives in the Chamber's forums and roundtables where their expertise strengthens the substance of discussion. In each case, the nature and terms of the affiliation are documented consistent with the Chamber's governance standards.</w:t>
      </w:r>
    </w:p>
    <w:p w14:paraId="00000024" w14:textId="77777777" w:rsidR="00612B16" w:rsidRPr="00D21A58" w:rsidRDefault="00612B16">
      <w:pPr>
        <w:jc w:val="both"/>
        <w:rPr>
          <w:rFonts w:ascii="Univers" w:eastAsia="Open Sans" w:hAnsi="Univers" w:cs="Open Sans"/>
          <w:sz w:val="20"/>
          <w:szCs w:val="20"/>
        </w:rPr>
      </w:pPr>
    </w:p>
    <w:p w14:paraId="00000025"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The Chamber applies the same standard of institutional independence to its academic affiliations as it does to its other external relationships, ensuring that engagement with a particular academic institution does not compromise, or appear to compromise, the objectivity of the Chamber's own research and analysis, consistent with the Institutional Independence &amp; Neutrality Policy.</w:t>
      </w:r>
    </w:p>
    <w:p w14:paraId="00000026" w14:textId="77777777" w:rsidR="00612B16" w:rsidRPr="00D21A58" w:rsidRDefault="00612B16">
      <w:pPr>
        <w:jc w:val="both"/>
        <w:rPr>
          <w:rFonts w:ascii="Univers" w:eastAsia="Open Sans" w:hAnsi="Univers" w:cs="Open Sans"/>
          <w:sz w:val="20"/>
          <w:szCs w:val="20"/>
        </w:rPr>
      </w:pPr>
    </w:p>
    <w:p w14:paraId="00000027"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Academic and Research Affiliations are reviewed periodically to ensure they continue to serve the Chamber's research and intelligence function effectively, and to identify areas where new affiliations may strengthen the Chamber's analytical capacity in emerging subjects of relevance to its membership, including developments within its Innovation, Technology &amp; Digital Economy Programs and Sustainable Development &amp; ESG Collaboration.</w:t>
      </w:r>
    </w:p>
    <w:p w14:paraId="00000028" w14:textId="77777777" w:rsidR="00612B16" w:rsidRPr="00D21A58" w:rsidRDefault="00612B16">
      <w:pPr>
        <w:jc w:val="both"/>
        <w:rPr>
          <w:rFonts w:ascii="Univers" w:eastAsia="Open Sans" w:hAnsi="Univers" w:cs="Open Sans"/>
          <w:b/>
          <w:bCs/>
          <w:sz w:val="20"/>
          <w:szCs w:val="20"/>
        </w:rPr>
      </w:pPr>
    </w:p>
    <w:p w14:paraId="00000029" w14:textId="77777777" w:rsidR="00612B16" w:rsidRPr="00D21A58" w:rsidRDefault="00000000">
      <w:pPr>
        <w:jc w:val="both"/>
        <w:rPr>
          <w:rFonts w:ascii="Univers" w:eastAsia="Open Sans" w:hAnsi="Univers" w:cs="Open Sans"/>
          <w:b/>
          <w:bCs/>
          <w:sz w:val="24"/>
          <w:szCs w:val="24"/>
        </w:rPr>
      </w:pPr>
      <w:r w:rsidRPr="00D21A58">
        <w:rPr>
          <w:rFonts w:ascii="Univers" w:eastAsia="Open Sans" w:hAnsi="Univers" w:cs="Open Sans"/>
          <w:b/>
          <w:bCs/>
          <w:sz w:val="24"/>
          <w:szCs w:val="24"/>
        </w:rPr>
        <w:t>International Cooperation Agreements</w:t>
      </w:r>
    </w:p>
    <w:p w14:paraId="0000002A" w14:textId="77777777" w:rsidR="00612B16" w:rsidRPr="00D21A58" w:rsidRDefault="00612B16">
      <w:pPr>
        <w:jc w:val="both"/>
        <w:rPr>
          <w:rFonts w:ascii="Univers" w:eastAsia="Open Sans" w:hAnsi="Univers" w:cs="Open Sans"/>
          <w:sz w:val="20"/>
          <w:szCs w:val="20"/>
        </w:rPr>
      </w:pPr>
    </w:p>
    <w:p w14:paraId="0000002B"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International Cooperation Agreements are the most formal instrument through which the World Economic Chamber structures its relationships with government bodies, multilateral institutions and other international counterparts, providing a documented basis for sustained cooperation on matters of significance to the Chamber's mandate.</w:t>
      </w:r>
    </w:p>
    <w:p w14:paraId="0000002C" w14:textId="77777777" w:rsidR="00612B16" w:rsidRPr="00D21A58" w:rsidRDefault="00612B16">
      <w:pPr>
        <w:jc w:val="both"/>
        <w:rPr>
          <w:rFonts w:ascii="Univers" w:eastAsia="Open Sans" w:hAnsi="Univers" w:cs="Open Sans"/>
          <w:sz w:val="20"/>
          <w:szCs w:val="20"/>
        </w:rPr>
      </w:pPr>
    </w:p>
    <w:p w14:paraId="0000002D"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These agreements are reserved for relationships of sufficient institutional weight and durability to warrant formal documentation, distinguishing them from the more flexible arrangements applied to Institutional Collaborations. An International Cooperation Agreement typically sets out the purpose of the cooperation, the respective roles and responsibilities of the Chamber and its counterpart, and the terms under which the relationship is to be reviewed and maintained over time.</w:t>
      </w:r>
    </w:p>
    <w:p w14:paraId="0000002E" w14:textId="77777777" w:rsidR="00612B16" w:rsidRPr="00D21A58" w:rsidRDefault="00612B16">
      <w:pPr>
        <w:jc w:val="both"/>
        <w:rPr>
          <w:rFonts w:ascii="Univers" w:eastAsia="Open Sans" w:hAnsi="Univers" w:cs="Open Sans"/>
          <w:sz w:val="20"/>
          <w:szCs w:val="20"/>
        </w:rPr>
      </w:pPr>
    </w:p>
    <w:p w14:paraId="0000002F"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The development of an International Cooperation Agreement follows the Chamber's established governance procedures, consistent with the International Coordination &amp; Liaison Procedures and, where the counterpart is a government body or multilateral institution, the standards set out in the Chamber's International Liaison &amp; Government Relations and Diplomatic &amp; Multilateral Engagement Channels. This ensures that agreements of this significance receive the level of internal review and authorisation appropriate to their institutional weight.</w:t>
      </w:r>
    </w:p>
    <w:p w14:paraId="00000030" w14:textId="77777777" w:rsidR="00612B16" w:rsidRPr="00D21A58" w:rsidRDefault="00612B16">
      <w:pPr>
        <w:jc w:val="both"/>
        <w:rPr>
          <w:rFonts w:ascii="Univers" w:eastAsia="Open Sans" w:hAnsi="Univers" w:cs="Open Sans"/>
          <w:sz w:val="20"/>
          <w:szCs w:val="20"/>
        </w:rPr>
      </w:pPr>
    </w:p>
    <w:p w14:paraId="00000031"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Given that International Cooperation Agreements often involve counterparts across multiple jurisdictions or with multilateral standing, particular attention is given to ensuring that the terms of any agreement are consistent with the Chamber's positions and commitments elsewhere, in accordance with the Cross-Jurisdictional Consultation &amp; Coordination Procedures. This safeguards against the risk that a cooperation agreement in one jurisdiction inadvertently creates inconsistency with the Chamber's standing in another.</w:t>
      </w:r>
    </w:p>
    <w:p w14:paraId="00000032" w14:textId="77777777" w:rsidR="00612B16" w:rsidRPr="00D21A58" w:rsidRDefault="00612B16">
      <w:pPr>
        <w:jc w:val="both"/>
        <w:rPr>
          <w:rFonts w:ascii="Univers" w:eastAsia="Open Sans" w:hAnsi="Univers" w:cs="Open Sans"/>
          <w:sz w:val="20"/>
          <w:szCs w:val="20"/>
        </w:rPr>
      </w:pPr>
    </w:p>
    <w:p w14:paraId="00000033" w14:textId="77777777" w:rsidR="00612B16" w:rsidRPr="00D21A58" w:rsidRDefault="00000000">
      <w:pPr>
        <w:jc w:val="both"/>
        <w:rPr>
          <w:rFonts w:ascii="Univers" w:eastAsia="Open Sans" w:hAnsi="Univers" w:cs="Open Sans"/>
          <w:sz w:val="20"/>
          <w:szCs w:val="20"/>
        </w:rPr>
      </w:pPr>
      <w:r w:rsidRPr="00D21A58">
        <w:rPr>
          <w:rFonts w:ascii="Univers" w:eastAsia="Open Sans" w:hAnsi="Univers" w:cs="Open Sans"/>
          <w:sz w:val="20"/>
          <w:szCs w:val="20"/>
        </w:rPr>
        <w:t>As with all of the Chamber's external relationships, International Cooperation Agreements are structured and maintained in a manner consistent with the Institutional Independence &amp; Neutrality Policy, ensuring that formal cooperation with a government or multilateral counterpart never compromises the Chamber's impartiality. Agreements are documented and retained in accordance with the Record-Keeping &amp; Documentation Standards, and are reviewed periodically to confirm that the cooperation they establish continues to serve its intended institutional purpose.</w:t>
      </w:r>
    </w:p>
    <w:p w14:paraId="00000034" w14:textId="77777777" w:rsidR="00612B16" w:rsidRPr="00D21A58" w:rsidRDefault="00612B16">
      <w:pPr>
        <w:rPr>
          <w:rFonts w:ascii="Univers" w:eastAsia="Open Sans" w:hAnsi="Univers" w:cs="Open Sans"/>
          <w:sz w:val="20"/>
          <w:szCs w:val="20"/>
        </w:rPr>
      </w:pPr>
    </w:p>
    <w:sectPr w:rsidR="00612B16" w:rsidRPr="00D21A5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6D6FFC3-00D0-4E39-90A9-A8B23BB6AD01}"/>
    <w:embedItalic r:id="rId2" w:fontKey="{5303B3A4-00AB-47CB-A138-19C26CCEC214}"/>
  </w:font>
  <w:font w:name="Play">
    <w:charset w:val="00"/>
    <w:family w:val="auto"/>
    <w:pitch w:val="default"/>
    <w:embedRegular r:id="rId3" w:fontKey="{57DFEFA6-CE6B-4F03-BCEE-A2E9E88BAA31}"/>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FD5DEEE0-40BA-422B-BA72-2DE09BB27C1F}"/>
    <w:embedBold r:id="rId5" w:fontKey="{D3181623-A3A1-4C61-A5A8-EE21D006DF57}"/>
  </w:font>
  <w:font w:name="Open Sans">
    <w:charset w:val="00"/>
    <w:family w:val="swiss"/>
    <w:pitch w:val="variable"/>
    <w:sig w:usb0="E00002EF" w:usb1="4000205B" w:usb2="00000028" w:usb3="00000000" w:csb0="0000019F" w:csb1="00000000"/>
    <w:embedRegular r:id="rId6" w:fontKey="{0FA83CC1-C7D7-4254-8088-EF6803B5C488}"/>
    <w:embedBold r:id="rId7" w:fontKey="{BFAAFF5B-FA71-4CDA-9DD8-4F34F12DC2BD}"/>
  </w:font>
  <w:font w:name="Calibri">
    <w:panose1 w:val="020F0502020204030204"/>
    <w:charset w:val="00"/>
    <w:family w:val="swiss"/>
    <w:pitch w:val="variable"/>
    <w:sig w:usb0="E4002EFF" w:usb1="C200247B" w:usb2="00000009" w:usb3="00000000" w:csb0="000001FF" w:csb1="00000000"/>
    <w:embedRegular r:id="rId8" w:fontKey="{67455C2E-509A-4B63-87FD-289C2AC6CCCB}"/>
  </w:font>
  <w:font w:name="Cambria">
    <w:panose1 w:val="02040503050406030204"/>
    <w:charset w:val="00"/>
    <w:family w:val="roman"/>
    <w:pitch w:val="variable"/>
    <w:sig w:usb0="E00006FF" w:usb1="420024FF" w:usb2="02000000" w:usb3="00000000" w:csb0="0000019F" w:csb1="00000000"/>
    <w:embedRegular r:id="rId9" w:fontKey="{2285FFFD-CEF7-4029-82FC-0FEC9C93FE8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B16"/>
    <w:rsid w:val="00612B16"/>
    <w:rsid w:val="00CE519C"/>
    <w:rsid w:val="00D21A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BE13B4-432F-4DCD-B1A9-64BF51661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dmDwLnx3oMK7lRf/RvejT3+pQ==">CgMxLjA4AHIhMTFVVmo0cWtHSTlQeUh6am04OUtLRWFxU3BzSkxFdWll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1486</Words>
  <Characters>8476</Characters>
  <Application>Microsoft Office Word</Application>
  <DocSecurity>0</DocSecurity>
  <Lines>70</Lines>
  <Paragraphs>19</Paragraphs>
  <ScaleCrop>false</ScaleCrop>
  <Company>Department of Education</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2026-07-23T09:48:00Z</dcterms:created>
  <dcterms:modified xsi:type="dcterms:W3CDTF">2026-07-23T09:49:00Z</dcterms:modified>
</cp:coreProperties>
</file>