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54A61" w:rsidRPr="00BD7257" w:rsidRDefault="00000000">
      <w:pPr>
        <w:jc w:val="center"/>
        <w:rPr>
          <w:rFonts w:ascii="Univers" w:eastAsia="Open Sans" w:hAnsi="Univers" w:cs="Open Sans"/>
          <w:b/>
          <w:bCs/>
          <w:sz w:val="24"/>
          <w:szCs w:val="24"/>
        </w:rPr>
      </w:pPr>
      <w:r w:rsidRPr="00BD7257">
        <w:rPr>
          <w:rFonts w:ascii="Univers" w:eastAsia="Open Sans" w:hAnsi="Univers" w:cs="Open Sans"/>
          <w:b/>
          <w:bCs/>
          <w:sz w:val="24"/>
          <w:szCs w:val="24"/>
        </w:rPr>
        <w:t>SECRETARIAT DOCUMENTATION, RECORD-KEEPING &amp; COMPLIANCE REQUIREMENTS</w:t>
      </w:r>
    </w:p>
    <w:p w14:paraId="00000002" w14:textId="77777777" w:rsidR="00B54A61" w:rsidRPr="00BD7257" w:rsidRDefault="00B54A61">
      <w:pPr>
        <w:jc w:val="both"/>
        <w:rPr>
          <w:rFonts w:ascii="Univers" w:eastAsia="Open Sans" w:hAnsi="Univers" w:cs="Open Sans"/>
          <w:sz w:val="20"/>
          <w:szCs w:val="20"/>
        </w:rPr>
      </w:pPr>
    </w:p>
    <w:p w14:paraId="00000003"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1. Purpose and Scope</w:t>
      </w:r>
    </w:p>
    <w:p w14:paraId="00000004" w14:textId="77777777" w:rsidR="00B54A61" w:rsidRPr="00BD7257" w:rsidRDefault="00B54A61">
      <w:pPr>
        <w:jc w:val="both"/>
        <w:rPr>
          <w:rFonts w:ascii="Univers" w:eastAsia="Open Sans" w:hAnsi="Univers" w:cs="Open Sans"/>
          <w:b/>
          <w:bCs/>
          <w:sz w:val="20"/>
          <w:szCs w:val="20"/>
        </w:rPr>
      </w:pPr>
    </w:p>
    <w:p w14:paraId="00000005"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t>This document sets out the standards governing how the Executive Secretariat creates, maintains and safeguards institutional records, and the compliance obligations that attach to that responsibility. It ensures that the administrative record of the Chamber's activities is accurate, complete and retrievable, and that the Secretariat's documentation practices meet the standards expected of an institution operating across multiple regulatory environments.</w:t>
      </w:r>
    </w:p>
    <w:p w14:paraId="00000006" w14:textId="77777777" w:rsidR="00B54A61" w:rsidRPr="00BD7257" w:rsidRDefault="00B54A61">
      <w:pPr>
        <w:jc w:val="both"/>
        <w:rPr>
          <w:rFonts w:ascii="Univers" w:eastAsia="Open Sans" w:hAnsi="Univers" w:cs="Open Sans"/>
          <w:sz w:val="20"/>
          <w:szCs w:val="20"/>
        </w:rPr>
      </w:pPr>
    </w:p>
    <w:p w14:paraId="00000007"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2. Documentation Principles</w:t>
      </w:r>
    </w:p>
    <w:p w14:paraId="00000008" w14:textId="77777777" w:rsidR="00B54A61" w:rsidRPr="00BD7257" w:rsidRDefault="00B54A61">
      <w:pPr>
        <w:jc w:val="both"/>
        <w:rPr>
          <w:rFonts w:ascii="Univers" w:eastAsia="Open Sans" w:hAnsi="Univers" w:cs="Open Sans"/>
          <w:b/>
          <w:bCs/>
          <w:sz w:val="20"/>
          <w:szCs w:val="20"/>
        </w:rPr>
      </w:pPr>
    </w:p>
    <w:p w14:paraId="00000009"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t>Secretariat documentation is governed by three principles: accuracy, so that records reflect institutional activity without distortion or omission; completeness, so that no material decision, communication or action is left unrecorded; and retrievability, so that records can be located and produced promptly when required for governance review, member enquiry or regulatory purposes.</w:t>
      </w:r>
    </w:p>
    <w:p w14:paraId="0000000A" w14:textId="77777777" w:rsidR="00B54A61" w:rsidRPr="00BD7257" w:rsidRDefault="00B54A61">
      <w:pPr>
        <w:jc w:val="both"/>
        <w:rPr>
          <w:rFonts w:ascii="Univers" w:eastAsia="Open Sans" w:hAnsi="Univers" w:cs="Open Sans"/>
          <w:sz w:val="20"/>
          <w:szCs w:val="20"/>
        </w:rPr>
      </w:pPr>
    </w:p>
    <w:p w14:paraId="0000000B"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3. Scope of Records</w:t>
      </w:r>
    </w:p>
    <w:p w14:paraId="0000000C" w14:textId="77777777" w:rsidR="00B54A61" w:rsidRPr="00BD7257" w:rsidRDefault="00B54A61">
      <w:pPr>
        <w:jc w:val="both"/>
        <w:rPr>
          <w:rFonts w:ascii="Univers" w:eastAsia="Open Sans" w:hAnsi="Univers" w:cs="Open Sans"/>
          <w:b/>
          <w:bCs/>
          <w:sz w:val="20"/>
          <w:szCs w:val="20"/>
        </w:rPr>
      </w:pPr>
    </w:p>
    <w:p w14:paraId="0000000D"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t>The Secretariat is responsible for maintaining records across the full range of its functions. This includes governance documentation such as decision memoranda, approval logs and meeting records; membership records, including applications, standing and correspondence; program and initiative documentation, covering implementation records and outcomes; and cross-border engagement records, including consultations, correspondence and coordination activity conducted with regulators, partner institutions and government bodies.</w:t>
      </w:r>
    </w:p>
    <w:p w14:paraId="0000000E" w14:textId="77777777" w:rsidR="00B54A61" w:rsidRPr="00BD7257" w:rsidRDefault="00B54A61">
      <w:pPr>
        <w:jc w:val="both"/>
        <w:rPr>
          <w:rFonts w:ascii="Univers" w:eastAsia="Open Sans" w:hAnsi="Univers" w:cs="Open Sans"/>
          <w:sz w:val="20"/>
          <w:szCs w:val="20"/>
        </w:rPr>
      </w:pPr>
    </w:p>
    <w:p w14:paraId="0000000F"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4. Record-Keeping Standards</w:t>
      </w:r>
    </w:p>
    <w:p w14:paraId="00000010" w14:textId="77777777" w:rsidR="00B54A61" w:rsidRPr="00BD7257" w:rsidRDefault="00B54A61">
      <w:pPr>
        <w:jc w:val="both"/>
        <w:rPr>
          <w:rFonts w:ascii="Univers" w:eastAsia="Open Sans" w:hAnsi="Univers" w:cs="Open Sans"/>
          <w:b/>
          <w:bCs/>
          <w:sz w:val="20"/>
          <w:szCs w:val="20"/>
        </w:rPr>
      </w:pPr>
    </w:p>
    <w:p w14:paraId="00000011"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t>All records must be maintained in accordance with the Record-Keeping &amp; Documentation Standards, which establish the format, retention period and access controls applicable to each category of record. Records must be organised in a manner that supports audit, cross-jurisdictional consistency and continuity of institutional memory, irrespective of changes in personnel or leadership.</w:t>
      </w:r>
    </w:p>
    <w:p w14:paraId="00000012" w14:textId="77777777" w:rsidR="00B54A61" w:rsidRPr="00BD7257" w:rsidRDefault="00B54A61">
      <w:pPr>
        <w:jc w:val="both"/>
        <w:rPr>
          <w:rFonts w:ascii="Univers" w:eastAsia="Open Sans" w:hAnsi="Univers" w:cs="Open Sans"/>
          <w:sz w:val="20"/>
          <w:szCs w:val="20"/>
        </w:rPr>
      </w:pPr>
    </w:p>
    <w:p w14:paraId="00000013"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5. Compliance Requirements</w:t>
      </w:r>
    </w:p>
    <w:p w14:paraId="00000014" w14:textId="77777777" w:rsidR="00B54A61" w:rsidRPr="00BD7257" w:rsidRDefault="00B54A61">
      <w:pPr>
        <w:jc w:val="both"/>
        <w:rPr>
          <w:rFonts w:ascii="Univers" w:eastAsia="Open Sans" w:hAnsi="Univers" w:cs="Open Sans"/>
          <w:b/>
          <w:bCs/>
          <w:sz w:val="20"/>
          <w:szCs w:val="20"/>
        </w:rPr>
      </w:pPr>
    </w:p>
    <w:p w14:paraId="00000015"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t>The Secretariat is responsible for ensuring that its documentation practices comply with applicable regulatory obligations in the jurisdictions where the Chamber engages. This includes maintaining appropriate confidentiality over sensitive records, applying access restrictions consistent with the sensitivity of the information held, and ensuring that records relied upon in regulatory or cross-border engagement are accurate and defensible.</w:t>
      </w:r>
    </w:p>
    <w:p w14:paraId="00000016" w14:textId="77777777" w:rsidR="00B54A61" w:rsidRPr="00BD7257" w:rsidRDefault="00B54A61">
      <w:pPr>
        <w:jc w:val="both"/>
        <w:rPr>
          <w:rFonts w:ascii="Univers" w:eastAsia="Open Sans" w:hAnsi="Univers" w:cs="Open Sans"/>
          <w:sz w:val="20"/>
          <w:szCs w:val="20"/>
        </w:rPr>
      </w:pPr>
    </w:p>
    <w:p w14:paraId="00000017"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6. Reporting and Oversight</w:t>
      </w:r>
    </w:p>
    <w:p w14:paraId="00000018" w14:textId="77777777" w:rsidR="00B54A61" w:rsidRPr="00BD7257" w:rsidRDefault="00B54A61">
      <w:pPr>
        <w:jc w:val="both"/>
        <w:rPr>
          <w:rFonts w:ascii="Univers" w:eastAsia="Open Sans" w:hAnsi="Univers" w:cs="Open Sans"/>
          <w:b/>
          <w:bCs/>
          <w:sz w:val="20"/>
          <w:szCs w:val="20"/>
        </w:rPr>
      </w:pPr>
    </w:p>
    <w:p w14:paraId="00000019"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t>The Secretariat's documentation and compliance practices are subject to review by Oversight &amp; Compliance Functions, consistent with the Oversight Responsibilities &amp; Accountability Standards. Any deficiencies identified must be addressed through documented corrective action, with follow-up reporting to Executive Leadership where required.</w:t>
      </w:r>
    </w:p>
    <w:p w14:paraId="0000001A" w14:textId="77777777" w:rsidR="00B54A61" w:rsidRPr="00BD7257" w:rsidRDefault="00B54A61">
      <w:pPr>
        <w:jc w:val="both"/>
        <w:rPr>
          <w:rFonts w:ascii="Univers" w:eastAsia="Open Sans" w:hAnsi="Univers" w:cs="Open Sans"/>
          <w:sz w:val="20"/>
          <w:szCs w:val="20"/>
        </w:rPr>
      </w:pPr>
    </w:p>
    <w:p w14:paraId="0000001B" w14:textId="77777777" w:rsidR="00B54A61" w:rsidRPr="00BD7257" w:rsidRDefault="00000000">
      <w:pPr>
        <w:jc w:val="both"/>
        <w:rPr>
          <w:rFonts w:ascii="Univers" w:eastAsia="Open Sans" w:hAnsi="Univers" w:cs="Open Sans"/>
          <w:b/>
          <w:bCs/>
          <w:sz w:val="24"/>
          <w:szCs w:val="24"/>
        </w:rPr>
      </w:pPr>
      <w:r w:rsidRPr="00BD7257">
        <w:rPr>
          <w:rFonts w:ascii="Univers" w:eastAsia="Open Sans" w:hAnsi="Univers" w:cs="Open Sans"/>
          <w:b/>
          <w:bCs/>
          <w:sz w:val="24"/>
          <w:szCs w:val="24"/>
        </w:rPr>
        <w:t>7. Alignment with Governance Framework</w:t>
      </w:r>
    </w:p>
    <w:p w14:paraId="0000001C" w14:textId="77777777" w:rsidR="00B54A61" w:rsidRPr="00BD7257" w:rsidRDefault="00B54A61">
      <w:pPr>
        <w:jc w:val="both"/>
        <w:rPr>
          <w:rFonts w:ascii="Univers" w:eastAsia="Open Sans" w:hAnsi="Univers" w:cs="Open Sans"/>
          <w:b/>
          <w:bCs/>
          <w:sz w:val="20"/>
          <w:szCs w:val="20"/>
        </w:rPr>
      </w:pPr>
    </w:p>
    <w:p w14:paraId="0000001D" w14:textId="77777777" w:rsidR="00B54A61" w:rsidRPr="00BD7257" w:rsidRDefault="00000000">
      <w:pPr>
        <w:jc w:val="both"/>
        <w:rPr>
          <w:rFonts w:ascii="Univers" w:eastAsia="Open Sans" w:hAnsi="Univers" w:cs="Open Sans"/>
          <w:sz w:val="20"/>
          <w:szCs w:val="20"/>
        </w:rPr>
      </w:pPr>
      <w:r w:rsidRPr="00BD7257">
        <w:rPr>
          <w:rFonts w:ascii="Univers" w:eastAsia="Open Sans" w:hAnsi="Univers" w:cs="Open Sans"/>
          <w:sz w:val="20"/>
          <w:szCs w:val="20"/>
        </w:rPr>
        <w:lastRenderedPageBreak/>
        <w:t>These requirements ensure that the Secretariat's documentation function operates as a dependable institutional record rather than an administrative formality. They protect the Chamber's credibility, support accountability across its governance architecture and provide members with confidence that the institution's activities are conducted, and recorded, with rigour.</w:t>
      </w:r>
    </w:p>
    <w:p w14:paraId="0000001E" w14:textId="77777777" w:rsidR="00B54A61" w:rsidRPr="00BD7257" w:rsidRDefault="00B54A61">
      <w:pPr>
        <w:rPr>
          <w:rFonts w:ascii="Univers" w:eastAsia="Open Sans" w:hAnsi="Univers" w:cs="Open Sans"/>
          <w:sz w:val="20"/>
          <w:szCs w:val="20"/>
        </w:rPr>
      </w:pPr>
    </w:p>
    <w:sectPr w:rsidR="00B54A61" w:rsidRPr="00BD725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D75EDD9-A7D5-458E-94A1-962DDCDD13C8}"/>
    <w:embedItalic r:id="rId2" w:fontKey="{2C79C75F-1FB4-4ED6-8518-4CFCCC42732B}"/>
  </w:font>
  <w:font w:name="Play">
    <w:charset w:val="00"/>
    <w:family w:val="auto"/>
    <w:pitch w:val="default"/>
    <w:embedRegular r:id="rId3" w:fontKey="{C13B1B88-63B2-4C6A-8694-4C66EDA4C58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098F5100-B83A-4AE2-927E-AA56A3E00EB0}"/>
    <w:embedBold r:id="rId5" w:fontKey="{26C5E0D0-33AA-486A-B057-0D989446E01F}"/>
  </w:font>
  <w:font w:name="Open Sans">
    <w:charset w:val="00"/>
    <w:family w:val="swiss"/>
    <w:pitch w:val="variable"/>
    <w:sig w:usb0="E00002EF" w:usb1="4000205B" w:usb2="00000028" w:usb3="00000000" w:csb0="0000019F" w:csb1="00000000"/>
    <w:embedRegular r:id="rId6" w:fontKey="{CF04533F-7E8D-459B-8780-B31C177F9F23}"/>
    <w:embedBold r:id="rId7" w:fontKey="{3D83DAD0-4D6E-4290-AD8B-AC40E697E722}"/>
  </w:font>
  <w:font w:name="Calibri">
    <w:panose1 w:val="020F0502020204030204"/>
    <w:charset w:val="00"/>
    <w:family w:val="swiss"/>
    <w:pitch w:val="variable"/>
    <w:sig w:usb0="E4002EFF" w:usb1="C200247B" w:usb2="00000009" w:usb3="00000000" w:csb0="000001FF" w:csb1="00000000"/>
    <w:embedRegular r:id="rId8" w:fontKey="{666BBCA3-AEB1-4FD1-AA47-A0F07EBBDA62}"/>
  </w:font>
  <w:font w:name="Cambria">
    <w:panose1 w:val="02040503050406030204"/>
    <w:charset w:val="00"/>
    <w:family w:val="roman"/>
    <w:pitch w:val="variable"/>
    <w:sig w:usb0="E00006FF" w:usb1="420024FF" w:usb2="02000000" w:usb3="00000000" w:csb0="0000019F" w:csb1="00000000"/>
    <w:embedRegular r:id="rId9" w:fontKey="{6F630720-8BB9-4E04-B004-92691AEB38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A61"/>
    <w:rsid w:val="00730EF4"/>
    <w:rsid w:val="00B54A61"/>
    <w:rsid w:val="00BD72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A05560-D5D4-4A92-892A-0E393504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9h5HrzHOvqoG3yjBzGiqXx+MTA==">CgMxLjA4AHIhMXVIMUE5OUNSZUhGZGVuNWhqcjJfLWZzdE1RUDZCZ0Fn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2706</Characters>
  <Application>Microsoft Office Word</Application>
  <DocSecurity>0</DocSecurity>
  <Lines>22</Lines>
  <Paragraphs>6</Paragraphs>
  <ScaleCrop>false</ScaleCrop>
  <Company>Department of Education</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2026-07-23T09:06:00Z</dcterms:created>
  <dcterms:modified xsi:type="dcterms:W3CDTF">2026-07-23T09:07:00Z</dcterms:modified>
</cp:coreProperties>
</file>