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5496" w:rsidRPr="005B2EC7" w:rsidRDefault="00000000">
      <w:pPr>
        <w:jc w:val="center"/>
        <w:rPr>
          <w:rFonts w:ascii="Univers" w:eastAsia="Open Sans" w:hAnsi="Univers" w:cs="Open Sans"/>
          <w:b/>
          <w:bCs/>
          <w:sz w:val="24"/>
          <w:szCs w:val="24"/>
        </w:rPr>
      </w:pPr>
      <w:r w:rsidRPr="005B2EC7">
        <w:rPr>
          <w:rFonts w:ascii="Univers" w:eastAsia="Open Sans" w:hAnsi="Univers" w:cs="Open Sans"/>
          <w:b/>
          <w:bCs/>
          <w:sz w:val="24"/>
          <w:szCs w:val="24"/>
        </w:rPr>
        <w:t>REGULATORY CORRESPONDENCE &amp; INFORMATION-HANDLING GUIDELINES</w:t>
      </w:r>
    </w:p>
    <w:p w14:paraId="00000002" w14:textId="77777777" w:rsidR="00EF5496" w:rsidRPr="005B2EC7" w:rsidRDefault="00EF5496">
      <w:pPr>
        <w:jc w:val="both"/>
        <w:rPr>
          <w:rFonts w:ascii="Univers" w:eastAsia="Open Sans" w:hAnsi="Univers" w:cs="Open Sans"/>
          <w:b/>
          <w:bCs/>
          <w:sz w:val="20"/>
          <w:szCs w:val="20"/>
        </w:rPr>
      </w:pPr>
    </w:p>
    <w:p w14:paraId="00000003" w14:textId="77777777" w:rsidR="00EF5496" w:rsidRPr="005B2EC7" w:rsidRDefault="00000000">
      <w:pPr>
        <w:jc w:val="both"/>
        <w:rPr>
          <w:rFonts w:ascii="Univers" w:eastAsia="Open Sans" w:hAnsi="Univers" w:cs="Open Sans"/>
          <w:b/>
          <w:bCs/>
          <w:sz w:val="24"/>
          <w:szCs w:val="24"/>
        </w:rPr>
      </w:pPr>
      <w:r w:rsidRPr="005B2EC7">
        <w:rPr>
          <w:rFonts w:ascii="Univers" w:eastAsia="Open Sans" w:hAnsi="Univers" w:cs="Open Sans"/>
          <w:b/>
          <w:bCs/>
          <w:sz w:val="24"/>
          <w:szCs w:val="24"/>
        </w:rPr>
        <w:t>1. Purpose and Scope</w:t>
      </w:r>
    </w:p>
    <w:p w14:paraId="00000004" w14:textId="77777777" w:rsidR="00EF5496" w:rsidRPr="005B2EC7" w:rsidRDefault="00EF5496">
      <w:pPr>
        <w:jc w:val="both"/>
        <w:rPr>
          <w:rFonts w:ascii="Univers" w:eastAsia="Open Sans" w:hAnsi="Univers" w:cs="Open Sans"/>
          <w:sz w:val="20"/>
          <w:szCs w:val="20"/>
        </w:rPr>
      </w:pPr>
    </w:p>
    <w:p w14:paraId="00000005" w14:textId="7FB0FECE" w:rsidR="00EF5496" w:rsidRPr="005B2EC7" w:rsidRDefault="00000000">
      <w:pPr>
        <w:jc w:val="both"/>
        <w:rPr>
          <w:rFonts w:ascii="Univers" w:eastAsia="Open Sans" w:hAnsi="Univers" w:cs="Open Sans"/>
          <w:sz w:val="20"/>
          <w:szCs w:val="20"/>
        </w:rPr>
      </w:pPr>
      <w:r w:rsidRPr="005B2EC7">
        <w:rPr>
          <w:rFonts w:ascii="Univers" w:eastAsia="Open Sans" w:hAnsi="Univers" w:cs="Open Sans"/>
          <w:sz w:val="20"/>
          <w:szCs w:val="20"/>
        </w:rPr>
        <w:t xml:space="preserve">This document sets out how the World Economic Chamber prepares, manages and retains correspondence with regulators, and how information exchanged </w:t>
      </w:r>
      <w:r w:rsidR="005B2EC7" w:rsidRPr="005B2EC7">
        <w:rPr>
          <w:rFonts w:ascii="Univers" w:eastAsia="Open Sans" w:hAnsi="Univers" w:cs="Open Sans"/>
          <w:sz w:val="20"/>
          <w:szCs w:val="20"/>
        </w:rPr>
        <w:t>during</w:t>
      </w:r>
      <w:r w:rsidRPr="005B2EC7">
        <w:rPr>
          <w:rFonts w:ascii="Univers" w:eastAsia="Open Sans" w:hAnsi="Univers" w:cs="Open Sans"/>
          <w:sz w:val="20"/>
          <w:szCs w:val="20"/>
        </w:rPr>
        <w:t xml:space="preserve"> regulatory engagement is handled. It applies to all written and recorded communication with regulatory authorities, whether initiated by the Chamber or received in response to a Chamber submission, enquiry or consultation.</w:t>
      </w:r>
    </w:p>
    <w:p w14:paraId="00000006" w14:textId="77777777" w:rsidR="00EF5496" w:rsidRPr="005B2EC7" w:rsidRDefault="00EF5496">
      <w:pPr>
        <w:jc w:val="both"/>
        <w:rPr>
          <w:rFonts w:ascii="Univers" w:eastAsia="Open Sans" w:hAnsi="Univers" w:cs="Open Sans"/>
          <w:b/>
          <w:bCs/>
          <w:sz w:val="20"/>
          <w:szCs w:val="20"/>
        </w:rPr>
      </w:pPr>
    </w:p>
    <w:p w14:paraId="00000007" w14:textId="77777777" w:rsidR="00EF5496" w:rsidRPr="005B2EC7" w:rsidRDefault="00000000">
      <w:pPr>
        <w:jc w:val="both"/>
        <w:rPr>
          <w:rFonts w:ascii="Univers" w:eastAsia="Open Sans" w:hAnsi="Univers" w:cs="Open Sans"/>
          <w:b/>
          <w:bCs/>
          <w:sz w:val="24"/>
          <w:szCs w:val="24"/>
        </w:rPr>
      </w:pPr>
      <w:r w:rsidRPr="005B2EC7">
        <w:rPr>
          <w:rFonts w:ascii="Univers" w:eastAsia="Open Sans" w:hAnsi="Univers" w:cs="Open Sans"/>
          <w:b/>
          <w:bCs/>
          <w:sz w:val="24"/>
          <w:szCs w:val="24"/>
        </w:rPr>
        <w:t>2. Rationale</w:t>
      </w:r>
    </w:p>
    <w:p w14:paraId="00000008" w14:textId="77777777" w:rsidR="00EF5496" w:rsidRPr="005B2EC7" w:rsidRDefault="00EF5496">
      <w:pPr>
        <w:jc w:val="both"/>
        <w:rPr>
          <w:rFonts w:ascii="Univers" w:eastAsia="Open Sans" w:hAnsi="Univers" w:cs="Open Sans"/>
          <w:sz w:val="20"/>
          <w:szCs w:val="20"/>
        </w:rPr>
      </w:pPr>
    </w:p>
    <w:p w14:paraId="00000009" w14:textId="77777777" w:rsidR="00EF5496" w:rsidRPr="005B2EC7" w:rsidRDefault="00000000">
      <w:pPr>
        <w:jc w:val="both"/>
        <w:rPr>
          <w:rFonts w:ascii="Univers" w:eastAsia="Open Sans" w:hAnsi="Univers" w:cs="Open Sans"/>
          <w:sz w:val="20"/>
          <w:szCs w:val="20"/>
        </w:rPr>
      </w:pPr>
      <w:r w:rsidRPr="005B2EC7">
        <w:rPr>
          <w:rFonts w:ascii="Univers" w:eastAsia="Open Sans" w:hAnsi="Univers" w:cs="Open Sans"/>
          <w:sz w:val="20"/>
          <w:szCs w:val="20"/>
        </w:rPr>
        <w:t>Regulatory correspondence carries institutional weight beyond the individual exchange in which it occurs. A single piece of correspondence, handled carelessly, can misstate the Chamber's position, expose sensitive information or create an inconsistency that undermines standing in another jurisdiction. These guidelines exist to ensure that correspondence is treated with the same discipline applied to formal governance decisions.</w:t>
      </w:r>
    </w:p>
    <w:p w14:paraId="0000000A" w14:textId="77777777" w:rsidR="00EF5496" w:rsidRPr="005B2EC7" w:rsidRDefault="00EF5496">
      <w:pPr>
        <w:jc w:val="both"/>
        <w:rPr>
          <w:rFonts w:ascii="Univers" w:eastAsia="Open Sans" w:hAnsi="Univers" w:cs="Open Sans"/>
          <w:b/>
          <w:bCs/>
          <w:sz w:val="20"/>
          <w:szCs w:val="20"/>
        </w:rPr>
      </w:pPr>
    </w:p>
    <w:p w14:paraId="0000000B" w14:textId="77777777" w:rsidR="00EF5496" w:rsidRPr="005B2EC7" w:rsidRDefault="00000000">
      <w:pPr>
        <w:jc w:val="both"/>
        <w:rPr>
          <w:rFonts w:ascii="Univers" w:eastAsia="Open Sans" w:hAnsi="Univers" w:cs="Open Sans"/>
          <w:b/>
          <w:bCs/>
          <w:sz w:val="24"/>
          <w:szCs w:val="24"/>
        </w:rPr>
      </w:pPr>
      <w:r w:rsidRPr="005B2EC7">
        <w:rPr>
          <w:rFonts w:ascii="Univers" w:eastAsia="Open Sans" w:hAnsi="Univers" w:cs="Open Sans"/>
          <w:b/>
          <w:bCs/>
          <w:sz w:val="24"/>
          <w:szCs w:val="24"/>
        </w:rPr>
        <w:t>3. Preparation of Correspondence</w:t>
      </w:r>
    </w:p>
    <w:p w14:paraId="0000000C" w14:textId="77777777" w:rsidR="00EF5496" w:rsidRPr="005B2EC7" w:rsidRDefault="00EF5496">
      <w:pPr>
        <w:jc w:val="both"/>
        <w:rPr>
          <w:rFonts w:ascii="Univers" w:eastAsia="Open Sans" w:hAnsi="Univers" w:cs="Open Sans"/>
          <w:sz w:val="20"/>
          <w:szCs w:val="20"/>
        </w:rPr>
      </w:pPr>
    </w:p>
    <w:p w14:paraId="0000000D" w14:textId="77777777" w:rsidR="00EF5496" w:rsidRPr="005B2EC7" w:rsidRDefault="00000000">
      <w:pPr>
        <w:jc w:val="both"/>
        <w:rPr>
          <w:rFonts w:ascii="Univers" w:eastAsia="Open Sans" w:hAnsi="Univers" w:cs="Open Sans"/>
          <w:sz w:val="20"/>
          <w:szCs w:val="20"/>
        </w:rPr>
      </w:pPr>
      <w:r w:rsidRPr="005B2EC7">
        <w:rPr>
          <w:rFonts w:ascii="Univers" w:eastAsia="Open Sans" w:hAnsi="Univers" w:cs="Open Sans"/>
          <w:sz w:val="20"/>
          <w:szCs w:val="20"/>
        </w:rPr>
        <w:t>All correspondence directed to a regulator must be reviewed internally before dispatch, consistent with the Regulatory Engagement Standards. Review must confirm the accuracy of any factual or positional content, consistency with prior engagement in the same and other jurisdictions, and clarity regarding the capacity in which the Chamber is communicating. Correspondence must be issued only by individuals authorised to do so under the Chamber's governance architecture.</w:t>
      </w:r>
    </w:p>
    <w:p w14:paraId="0000000E" w14:textId="77777777" w:rsidR="00EF5496" w:rsidRPr="005B2EC7" w:rsidRDefault="00EF5496">
      <w:pPr>
        <w:jc w:val="both"/>
        <w:rPr>
          <w:rFonts w:ascii="Univers" w:eastAsia="Open Sans" w:hAnsi="Univers" w:cs="Open Sans"/>
          <w:b/>
          <w:bCs/>
          <w:sz w:val="20"/>
          <w:szCs w:val="20"/>
        </w:rPr>
      </w:pPr>
    </w:p>
    <w:p w14:paraId="0000000F" w14:textId="77777777" w:rsidR="00EF5496" w:rsidRPr="005B2EC7" w:rsidRDefault="00000000">
      <w:pPr>
        <w:jc w:val="both"/>
        <w:rPr>
          <w:rFonts w:ascii="Univers" w:eastAsia="Open Sans" w:hAnsi="Univers" w:cs="Open Sans"/>
          <w:b/>
          <w:bCs/>
          <w:sz w:val="24"/>
          <w:szCs w:val="24"/>
        </w:rPr>
      </w:pPr>
      <w:r w:rsidRPr="005B2EC7">
        <w:rPr>
          <w:rFonts w:ascii="Univers" w:eastAsia="Open Sans" w:hAnsi="Univers" w:cs="Open Sans"/>
          <w:b/>
          <w:bCs/>
          <w:sz w:val="24"/>
          <w:szCs w:val="24"/>
        </w:rPr>
        <w:t>4. Handling of Received Information</w:t>
      </w:r>
    </w:p>
    <w:p w14:paraId="00000010" w14:textId="77777777" w:rsidR="00EF5496" w:rsidRPr="005B2EC7" w:rsidRDefault="00EF5496">
      <w:pPr>
        <w:jc w:val="both"/>
        <w:rPr>
          <w:rFonts w:ascii="Univers" w:eastAsia="Open Sans" w:hAnsi="Univers" w:cs="Open Sans"/>
          <w:sz w:val="20"/>
          <w:szCs w:val="20"/>
        </w:rPr>
      </w:pPr>
    </w:p>
    <w:p w14:paraId="00000011" w14:textId="6B2E729E" w:rsidR="00EF5496" w:rsidRPr="005B2EC7" w:rsidRDefault="00000000">
      <w:pPr>
        <w:jc w:val="both"/>
        <w:rPr>
          <w:rFonts w:ascii="Univers" w:eastAsia="Open Sans" w:hAnsi="Univers" w:cs="Open Sans"/>
          <w:sz w:val="20"/>
          <w:szCs w:val="20"/>
        </w:rPr>
      </w:pPr>
      <w:r w:rsidRPr="005B2EC7">
        <w:rPr>
          <w:rFonts w:ascii="Univers" w:eastAsia="Open Sans" w:hAnsi="Univers" w:cs="Open Sans"/>
          <w:sz w:val="20"/>
          <w:szCs w:val="20"/>
        </w:rPr>
        <w:t xml:space="preserve">Information received from regulators, including formal responses, informal guidance and material shared </w:t>
      </w:r>
      <w:r w:rsidR="005B2EC7" w:rsidRPr="005B2EC7">
        <w:rPr>
          <w:rFonts w:ascii="Univers" w:eastAsia="Open Sans" w:hAnsi="Univers" w:cs="Open Sans"/>
          <w:sz w:val="20"/>
          <w:szCs w:val="20"/>
        </w:rPr>
        <w:t>during</w:t>
      </w:r>
      <w:r w:rsidRPr="005B2EC7">
        <w:rPr>
          <w:rFonts w:ascii="Univers" w:eastAsia="Open Sans" w:hAnsi="Univers" w:cs="Open Sans"/>
          <w:sz w:val="20"/>
          <w:szCs w:val="20"/>
        </w:rPr>
        <w:t xml:space="preserve"> consultation, must be logged promptly and assessed for any action it requires. Where received information bears on matters in another jurisdiction, it must be shared internally in accordance with the Cross-Jurisdictional Consultation &amp; Coordination Procedures.</w:t>
      </w:r>
    </w:p>
    <w:p w14:paraId="00000012" w14:textId="77777777" w:rsidR="00EF5496" w:rsidRPr="005B2EC7" w:rsidRDefault="00EF5496">
      <w:pPr>
        <w:jc w:val="both"/>
        <w:rPr>
          <w:rFonts w:ascii="Univers" w:eastAsia="Open Sans" w:hAnsi="Univers" w:cs="Open Sans"/>
          <w:b/>
          <w:bCs/>
          <w:sz w:val="20"/>
          <w:szCs w:val="20"/>
        </w:rPr>
      </w:pPr>
    </w:p>
    <w:p w14:paraId="00000013" w14:textId="77777777" w:rsidR="00EF5496" w:rsidRPr="005B2EC7" w:rsidRDefault="00000000">
      <w:pPr>
        <w:jc w:val="both"/>
        <w:rPr>
          <w:rFonts w:ascii="Univers" w:eastAsia="Open Sans" w:hAnsi="Univers" w:cs="Open Sans"/>
          <w:b/>
          <w:bCs/>
          <w:sz w:val="24"/>
          <w:szCs w:val="24"/>
        </w:rPr>
      </w:pPr>
      <w:r w:rsidRPr="005B2EC7">
        <w:rPr>
          <w:rFonts w:ascii="Univers" w:eastAsia="Open Sans" w:hAnsi="Univers" w:cs="Open Sans"/>
          <w:b/>
          <w:bCs/>
          <w:sz w:val="24"/>
          <w:szCs w:val="24"/>
        </w:rPr>
        <w:t>5. Confidentiality and Sensitivity</w:t>
      </w:r>
    </w:p>
    <w:p w14:paraId="00000014" w14:textId="77777777" w:rsidR="00EF5496" w:rsidRPr="005B2EC7" w:rsidRDefault="00EF5496">
      <w:pPr>
        <w:jc w:val="both"/>
        <w:rPr>
          <w:rFonts w:ascii="Univers" w:eastAsia="Open Sans" w:hAnsi="Univers" w:cs="Open Sans"/>
          <w:sz w:val="20"/>
          <w:szCs w:val="20"/>
        </w:rPr>
      </w:pPr>
    </w:p>
    <w:p w14:paraId="00000015" w14:textId="77777777" w:rsidR="00EF5496" w:rsidRPr="005B2EC7" w:rsidRDefault="00000000">
      <w:pPr>
        <w:jc w:val="both"/>
        <w:rPr>
          <w:rFonts w:ascii="Univers" w:eastAsia="Open Sans" w:hAnsi="Univers" w:cs="Open Sans"/>
          <w:sz w:val="20"/>
          <w:szCs w:val="20"/>
        </w:rPr>
      </w:pPr>
      <w:r w:rsidRPr="005B2EC7">
        <w:rPr>
          <w:rFonts w:ascii="Univers" w:eastAsia="Open Sans" w:hAnsi="Univers" w:cs="Open Sans"/>
          <w:sz w:val="20"/>
          <w:szCs w:val="20"/>
        </w:rPr>
        <w:t xml:space="preserve">Correspondence and information received </w:t>
      </w:r>
      <w:proofErr w:type="gramStart"/>
      <w:r w:rsidRPr="005B2EC7">
        <w:rPr>
          <w:rFonts w:ascii="Univers" w:eastAsia="Open Sans" w:hAnsi="Univers" w:cs="Open Sans"/>
          <w:sz w:val="20"/>
          <w:szCs w:val="20"/>
        </w:rPr>
        <w:t>in the course of</w:t>
      </w:r>
      <w:proofErr w:type="gramEnd"/>
      <w:r w:rsidRPr="005B2EC7">
        <w:rPr>
          <w:rFonts w:ascii="Univers" w:eastAsia="Open Sans" w:hAnsi="Univers" w:cs="Open Sans"/>
          <w:sz w:val="20"/>
          <w:szCs w:val="20"/>
        </w:rPr>
        <w:t xml:space="preserve"> regulatory engagement must be handled according to its sensitivity. Confidential or non-public information shared by a regulator must not be disclosed beyond those with a legitimate institutional need to </w:t>
      </w:r>
      <w:proofErr w:type="gramStart"/>
      <w:r w:rsidRPr="005B2EC7">
        <w:rPr>
          <w:rFonts w:ascii="Univers" w:eastAsia="Open Sans" w:hAnsi="Univers" w:cs="Open Sans"/>
          <w:sz w:val="20"/>
          <w:szCs w:val="20"/>
        </w:rPr>
        <w:t>know, and</w:t>
      </w:r>
      <w:proofErr w:type="gramEnd"/>
      <w:r w:rsidRPr="005B2EC7">
        <w:rPr>
          <w:rFonts w:ascii="Univers" w:eastAsia="Open Sans" w:hAnsi="Univers" w:cs="Open Sans"/>
          <w:sz w:val="20"/>
          <w:szCs w:val="20"/>
        </w:rPr>
        <w:t xml:space="preserve"> must never be used or referenced in a manner that could compromise the regulator's trust in the Chamber's discretion.</w:t>
      </w:r>
    </w:p>
    <w:p w14:paraId="0000001C" w14:textId="77777777" w:rsidR="00EF5496" w:rsidRPr="005B2EC7" w:rsidRDefault="00EF5496">
      <w:pPr>
        <w:jc w:val="both"/>
        <w:rPr>
          <w:rFonts w:ascii="Univers" w:eastAsia="Open Sans" w:hAnsi="Univers" w:cs="Open Sans"/>
          <w:b/>
          <w:bCs/>
          <w:sz w:val="20"/>
          <w:szCs w:val="20"/>
        </w:rPr>
      </w:pPr>
    </w:p>
    <w:p w14:paraId="0000001D" w14:textId="77777777" w:rsidR="00EF5496" w:rsidRPr="005B2EC7" w:rsidRDefault="00000000">
      <w:pPr>
        <w:jc w:val="both"/>
        <w:rPr>
          <w:rFonts w:ascii="Univers" w:eastAsia="Open Sans" w:hAnsi="Univers" w:cs="Open Sans"/>
          <w:b/>
          <w:bCs/>
          <w:sz w:val="24"/>
          <w:szCs w:val="24"/>
        </w:rPr>
      </w:pPr>
      <w:r w:rsidRPr="005B2EC7">
        <w:rPr>
          <w:rFonts w:ascii="Univers" w:eastAsia="Open Sans" w:hAnsi="Univers" w:cs="Open Sans"/>
          <w:b/>
          <w:bCs/>
          <w:sz w:val="24"/>
          <w:szCs w:val="24"/>
        </w:rPr>
        <w:t>6. Record-Keeping</w:t>
      </w:r>
    </w:p>
    <w:p w14:paraId="0000001E" w14:textId="77777777" w:rsidR="00EF5496" w:rsidRPr="005B2EC7" w:rsidRDefault="00EF5496">
      <w:pPr>
        <w:jc w:val="both"/>
        <w:rPr>
          <w:rFonts w:ascii="Univers" w:eastAsia="Open Sans" w:hAnsi="Univers" w:cs="Open Sans"/>
          <w:sz w:val="20"/>
          <w:szCs w:val="20"/>
        </w:rPr>
      </w:pPr>
    </w:p>
    <w:p w14:paraId="0000001F" w14:textId="77777777" w:rsidR="00EF5496" w:rsidRPr="005B2EC7" w:rsidRDefault="00000000">
      <w:pPr>
        <w:jc w:val="both"/>
        <w:rPr>
          <w:rFonts w:ascii="Univers" w:eastAsia="Open Sans" w:hAnsi="Univers" w:cs="Open Sans"/>
          <w:sz w:val="20"/>
          <w:szCs w:val="20"/>
        </w:rPr>
      </w:pPr>
      <w:r w:rsidRPr="005B2EC7">
        <w:rPr>
          <w:rFonts w:ascii="Univers" w:eastAsia="Open Sans" w:hAnsi="Univers" w:cs="Open Sans"/>
          <w:sz w:val="20"/>
          <w:szCs w:val="20"/>
        </w:rPr>
        <w:t>All regulatory correspondence, whether sent or received, must be retained in accordance with the Record-Keeping &amp; Documentation Standards, including the substance of the communication, the individuals involved, the date and jurisdiction, and any follow-up action arising from it. Retained records must be organised to support retrieval for audit, oversight review or future regulatory reference.</w:t>
      </w:r>
    </w:p>
    <w:p w14:paraId="00000020" w14:textId="77777777" w:rsidR="00EF5496" w:rsidRPr="005B2EC7" w:rsidRDefault="00EF5496">
      <w:pPr>
        <w:jc w:val="both"/>
        <w:rPr>
          <w:rFonts w:ascii="Univers" w:eastAsia="Open Sans" w:hAnsi="Univers" w:cs="Open Sans"/>
          <w:b/>
          <w:bCs/>
          <w:sz w:val="20"/>
          <w:szCs w:val="20"/>
        </w:rPr>
      </w:pPr>
    </w:p>
    <w:p w14:paraId="00000021" w14:textId="77777777" w:rsidR="00EF5496" w:rsidRPr="005B2EC7" w:rsidRDefault="00000000">
      <w:pPr>
        <w:jc w:val="both"/>
        <w:rPr>
          <w:rFonts w:ascii="Univers" w:eastAsia="Open Sans" w:hAnsi="Univers" w:cs="Open Sans"/>
          <w:b/>
          <w:bCs/>
          <w:sz w:val="24"/>
          <w:szCs w:val="24"/>
        </w:rPr>
      </w:pPr>
      <w:r w:rsidRPr="005B2EC7">
        <w:rPr>
          <w:rFonts w:ascii="Univers" w:eastAsia="Open Sans" w:hAnsi="Univers" w:cs="Open Sans"/>
          <w:b/>
          <w:bCs/>
          <w:sz w:val="24"/>
          <w:szCs w:val="24"/>
        </w:rPr>
        <w:t>7. Alignment with Governance Framework</w:t>
      </w:r>
    </w:p>
    <w:p w14:paraId="00000022" w14:textId="77777777" w:rsidR="00EF5496" w:rsidRPr="005B2EC7" w:rsidRDefault="00EF5496">
      <w:pPr>
        <w:jc w:val="both"/>
        <w:rPr>
          <w:rFonts w:ascii="Univers" w:eastAsia="Open Sans" w:hAnsi="Univers" w:cs="Open Sans"/>
          <w:sz w:val="20"/>
          <w:szCs w:val="20"/>
        </w:rPr>
      </w:pPr>
    </w:p>
    <w:p w14:paraId="00000023" w14:textId="77777777" w:rsidR="00EF5496" w:rsidRPr="005B2EC7" w:rsidRDefault="00000000">
      <w:pPr>
        <w:jc w:val="both"/>
        <w:rPr>
          <w:rFonts w:ascii="Univers" w:eastAsia="Open Sans" w:hAnsi="Univers" w:cs="Open Sans"/>
          <w:sz w:val="20"/>
          <w:szCs w:val="20"/>
        </w:rPr>
      </w:pPr>
      <w:r w:rsidRPr="005B2EC7">
        <w:rPr>
          <w:rFonts w:ascii="Univers" w:eastAsia="Open Sans" w:hAnsi="Univers" w:cs="Open Sans"/>
          <w:sz w:val="20"/>
          <w:szCs w:val="20"/>
        </w:rPr>
        <w:t xml:space="preserve">These guidelines ensure that the Chamber's regulatory relationships are conducted with precision and discretion. They protect confidential information, preserve consistency across </w:t>
      </w:r>
      <w:r w:rsidRPr="005B2EC7">
        <w:rPr>
          <w:rFonts w:ascii="Univers" w:eastAsia="Open Sans" w:hAnsi="Univers" w:cs="Open Sans"/>
          <w:sz w:val="20"/>
          <w:szCs w:val="20"/>
        </w:rPr>
        <w:lastRenderedPageBreak/>
        <w:t>jurisdictions, and reinforce the reliability that regulators are entitled to expect of an institution engaged in cross-border economic matters.</w:t>
      </w:r>
    </w:p>
    <w:p w14:paraId="00000024" w14:textId="77777777" w:rsidR="00EF5496" w:rsidRPr="005B2EC7" w:rsidRDefault="00EF5496">
      <w:pPr>
        <w:jc w:val="both"/>
        <w:rPr>
          <w:rFonts w:ascii="Univers" w:eastAsia="Open Sans" w:hAnsi="Univers" w:cs="Open Sans"/>
          <w:sz w:val="20"/>
          <w:szCs w:val="20"/>
        </w:rPr>
      </w:pPr>
    </w:p>
    <w:sectPr w:rsidR="00EF5496" w:rsidRPr="005B2EC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87DE21B-D6EC-4FF7-99C6-E068D363C534}"/>
    <w:embedItalic r:id="rId2" w:fontKey="{9F1C7D2F-DD4E-4E10-ABE1-AC1EDE3C5D42}"/>
  </w:font>
  <w:font w:name="Play">
    <w:charset w:val="00"/>
    <w:family w:val="auto"/>
    <w:pitch w:val="default"/>
    <w:embedRegular r:id="rId3" w:fontKey="{09A772D4-B4E9-43EB-A7BF-8A9E012A05B7}"/>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246C3F86-574B-4497-901A-D56CE74DC24C}"/>
    <w:embedBold r:id="rId5" w:fontKey="{1FED1256-AA10-45E6-B3F5-56530C9B2D0D}"/>
  </w:font>
  <w:font w:name="Open Sans">
    <w:charset w:val="00"/>
    <w:family w:val="swiss"/>
    <w:pitch w:val="variable"/>
    <w:sig w:usb0="E00002EF" w:usb1="4000205B" w:usb2="00000028" w:usb3="00000000" w:csb0="0000019F" w:csb1="00000000"/>
    <w:embedRegular r:id="rId6" w:fontKey="{4DE345DF-2215-443D-B5C6-135A8F35D3F9}"/>
    <w:embedBold r:id="rId7" w:fontKey="{28C18DD1-137F-49FF-BD74-95FC99385EA0}"/>
  </w:font>
  <w:font w:name="Calibri">
    <w:panose1 w:val="020F0502020204030204"/>
    <w:charset w:val="00"/>
    <w:family w:val="swiss"/>
    <w:pitch w:val="variable"/>
    <w:sig w:usb0="E4002EFF" w:usb1="C200247B" w:usb2="00000009" w:usb3="00000000" w:csb0="000001FF" w:csb1="00000000"/>
    <w:embedRegular r:id="rId8" w:fontKey="{7CF9A600-E394-47A0-AF0C-E9E627EDF588}"/>
  </w:font>
  <w:font w:name="Cambria">
    <w:panose1 w:val="02040503050406030204"/>
    <w:charset w:val="00"/>
    <w:family w:val="roman"/>
    <w:pitch w:val="variable"/>
    <w:sig w:usb0="E00006FF" w:usb1="420024FF" w:usb2="02000000" w:usb3="00000000" w:csb0="0000019F" w:csb1="00000000"/>
    <w:embedRegular r:id="rId9" w:fontKey="{E313CB73-2DAE-4AEB-B1D2-35CF47BC3D1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496"/>
    <w:rsid w:val="00150C80"/>
    <w:rsid w:val="005B2EC7"/>
    <w:rsid w:val="00EF54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0F22"/>
  <w15:docId w15:val="{2A5252C3-5A77-4EA6-B4DF-D66FE697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qJ3E6ISfVCUp2BdeeHC+VfUP+g==">CgMxLjA4AHIhMVIwZXVQWFlMMmhubUhjV21pZHVOVGEtWUdmd1p2dUFp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452</Words>
  <Characters>2579</Characters>
  <Application>Microsoft Office Word</Application>
  <DocSecurity>0</DocSecurity>
  <Lines>21</Lines>
  <Paragraphs>6</Paragraphs>
  <ScaleCrop>false</ScaleCrop>
  <Company>Department of Education</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2026-07-23T09:11:00Z</dcterms:created>
  <dcterms:modified xsi:type="dcterms:W3CDTF">2026-07-23T09:12:00Z</dcterms:modified>
</cp:coreProperties>
</file>