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3311" w:rsidRPr="00C97568" w:rsidRDefault="00000000">
      <w:pPr>
        <w:jc w:val="center"/>
        <w:rPr>
          <w:rFonts w:ascii="Univers" w:eastAsia="Open Sans" w:hAnsi="Univers" w:cs="Open Sans"/>
          <w:b/>
          <w:bCs/>
          <w:sz w:val="24"/>
          <w:szCs w:val="24"/>
        </w:rPr>
      </w:pPr>
      <w:r w:rsidRPr="00C97568">
        <w:rPr>
          <w:rFonts w:ascii="Univers" w:eastAsia="Open Sans" w:hAnsi="Univers" w:cs="Open Sans"/>
          <w:b/>
          <w:bCs/>
          <w:sz w:val="24"/>
          <w:szCs w:val="24"/>
        </w:rPr>
        <w:t>REGULATORY MEETING AND SUBMISSION PROTOCOLS</w:t>
      </w:r>
    </w:p>
    <w:p w14:paraId="00000002" w14:textId="77777777" w:rsidR="00633311" w:rsidRPr="00C97568" w:rsidRDefault="00633311">
      <w:pPr>
        <w:jc w:val="both"/>
        <w:rPr>
          <w:rFonts w:ascii="Univers" w:eastAsia="Open Sans" w:hAnsi="Univers" w:cs="Open Sans"/>
          <w:sz w:val="20"/>
          <w:szCs w:val="20"/>
        </w:rPr>
      </w:pPr>
    </w:p>
    <w:p w14:paraId="00000003" w14:textId="77777777" w:rsidR="00633311" w:rsidRPr="00C97568" w:rsidRDefault="00000000">
      <w:pPr>
        <w:jc w:val="both"/>
        <w:rPr>
          <w:rFonts w:ascii="Univers" w:eastAsia="Open Sans" w:hAnsi="Univers" w:cs="Open Sans"/>
          <w:b/>
          <w:bCs/>
          <w:sz w:val="24"/>
          <w:szCs w:val="24"/>
        </w:rPr>
      </w:pPr>
      <w:r w:rsidRPr="00C97568">
        <w:rPr>
          <w:rFonts w:ascii="Univers" w:eastAsia="Open Sans" w:hAnsi="Univers" w:cs="Open Sans"/>
          <w:b/>
          <w:bCs/>
          <w:sz w:val="24"/>
          <w:szCs w:val="24"/>
        </w:rPr>
        <w:t>1. Purpose and Scope</w:t>
      </w:r>
    </w:p>
    <w:p w14:paraId="00000004" w14:textId="77777777" w:rsidR="00633311" w:rsidRPr="00C97568" w:rsidRDefault="00633311">
      <w:pPr>
        <w:jc w:val="both"/>
        <w:rPr>
          <w:rFonts w:ascii="Univers" w:eastAsia="Open Sans" w:hAnsi="Univers" w:cs="Open Sans"/>
          <w:sz w:val="20"/>
          <w:szCs w:val="20"/>
        </w:rPr>
      </w:pPr>
    </w:p>
    <w:p w14:paraId="00000005" w14:textId="77777777" w:rsidR="00633311" w:rsidRPr="00C97568" w:rsidRDefault="00000000">
      <w:pPr>
        <w:jc w:val="both"/>
        <w:rPr>
          <w:rFonts w:ascii="Univers" w:eastAsia="Open Sans" w:hAnsi="Univers" w:cs="Open Sans"/>
          <w:sz w:val="20"/>
          <w:szCs w:val="20"/>
        </w:rPr>
      </w:pPr>
      <w:r w:rsidRPr="00C97568">
        <w:rPr>
          <w:rFonts w:ascii="Univers" w:eastAsia="Open Sans" w:hAnsi="Univers" w:cs="Open Sans"/>
          <w:sz w:val="20"/>
          <w:szCs w:val="20"/>
        </w:rPr>
        <w:t>This document sets out how the World Economic Chamber prepares for and conducts meetings with regulators, and how it prepares and lodges formal submissions. It applies to all direct engagement with regulatory authorities, whether convened at the regulator's request or initiated by the Chamber, and to any written submission made in a consultative, advisory or formal regulatory process.</w:t>
      </w:r>
    </w:p>
    <w:p w14:paraId="00000006" w14:textId="77777777" w:rsidR="00633311" w:rsidRPr="00C97568" w:rsidRDefault="00633311">
      <w:pPr>
        <w:jc w:val="both"/>
        <w:rPr>
          <w:rFonts w:ascii="Univers" w:eastAsia="Open Sans" w:hAnsi="Univers" w:cs="Open Sans"/>
          <w:b/>
          <w:bCs/>
          <w:sz w:val="20"/>
          <w:szCs w:val="20"/>
        </w:rPr>
      </w:pPr>
    </w:p>
    <w:p w14:paraId="00000007" w14:textId="77777777" w:rsidR="00633311" w:rsidRPr="00C97568" w:rsidRDefault="00000000">
      <w:pPr>
        <w:jc w:val="both"/>
        <w:rPr>
          <w:rFonts w:ascii="Univers" w:eastAsia="Open Sans" w:hAnsi="Univers" w:cs="Open Sans"/>
          <w:b/>
          <w:bCs/>
          <w:sz w:val="24"/>
          <w:szCs w:val="24"/>
        </w:rPr>
      </w:pPr>
      <w:r w:rsidRPr="00C97568">
        <w:rPr>
          <w:rFonts w:ascii="Univers" w:eastAsia="Open Sans" w:hAnsi="Univers" w:cs="Open Sans"/>
          <w:b/>
          <w:bCs/>
          <w:sz w:val="24"/>
          <w:szCs w:val="24"/>
        </w:rPr>
        <w:t>2. Rationale</w:t>
      </w:r>
    </w:p>
    <w:p w14:paraId="00000008" w14:textId="77777777" w:rsidR="00633311" w:rsidRPr="00C97568" w:rsidRDefault="00633311">
      <w:pPr>
        <w:jc w:val="both"/>
        <w:rPr>
          <w:rFonts w:ascii="Univers" w:eastAsia="Open Sans" w:hAnsi="Univers" w:cs="Open Sans"/>
          <w:sz w:val="20"/>
          <w:szCs w:val="20"/>
        </w:rPr>
      </w:pPr>
    </w:p>
    <w:p w14:paraId="00000009" w14:textId="77777777" w:rsidR="00633311" w:rsidRPr="00C97568" w:rsidRDefault="00000000">
      <w:pPr>
        <w:jc w:val="both"/>
        <w:rPr>
          <w:rFonts w:ascii="Univers" w:eastAsia="Open Sans" w:hAnsi="Univers" w:cs="Open Sans"/>
          <w:sz w:val="20"/>
          <w:szCs w:val="20"/>
        </w:rPr>
      </w:pPr>
      <w:r w:rsidRPr="00C97568">
        <w:rPr>
          <w:rFonts w:ascii="Univers" w:eastAsia="Open Sans" w:hAnsi="Univers" w:cs="Open Sans"/>
          <w:sz w:val="20"/>
          <w:szCs w:val="20"/>
        </w:rPr>
        <w:t>Meetings and submissions represent the points of highest exposure in the Chamber's regulatory relationships. A poorly prepared meeting or an inadequately reviewed submission can misrepresent the Chamber's position, create obligations the institution did not intend to assume, or damage standing with a regulator whose trust took considerable time to establish. These protocols exist to ensure that such engagement is never approached informally.</w:t>
      </w:r>
    </w:p>
    <w:p w14:paraId="0000000A" w14:textId="77777777" w:rsidR="00633311" w:rsidRPr="00C97568" w:rsidRDefault="00633311">
      <w:pPr>
        <w:jc w:val="both"/>
        <w:rPr>
          <w:rFonts w:ascii="Univers" w:eastAsia="Open Sans" w:hAnsi="Univers" w:cs="Open Sans"/>
          <w:b/>
          <w:bCs/>
          <w:sz w:val="20"/>
          <w:szCs w:val="20"/>
        </w:rPr>
      </w:pPr>
    </w:p>
    <w:p w14:paraId="0000000B" w14:textId="77777777" w:rsidR="00633311" w:rsidRPr="00C97568" w:rsidRDefault="00000000">
      <w:pPr>
        <w:jc w:val="both"/>
        <w:rPr>
          <w:rFonts w:ascii="Univers" w:eastAsia="Open Sans" w:hAnsi="Univers" w:cs="Open Sans"/>
          <w:b/>
          <w:bCs/>
          <w:sz w:val="24"/>
          <w:szCs w:val="24"/>
        </w:rPr>
      </w:pPr>
      <w:r w:rsidRPr="00C97568">
        <w:rPr>
          <w:rFonts w:ascii="Univers" w:eastAsia="Open Sans" w:hAnsi="Univers" w:cs="Open Sans"/>
          <w:b/>
          <w:bCs/>
          <w:sz w:val="24"/>
          <w:szCs w:val="24"/>
        </w:rPr>
        <w:t>3. Meeting Protocols</w:t>
      </w:r>
    </w:p>
    <w:p w14:paraId="0000000C" w14:textId="77777777" w:rsidR="00633311" w:rsidRPr="00C97568" w:rsidRDefault="00633311">
      <w:pPr>
        <w:jc w:val="both"/>
        <w:rPr>
          <w:rFonts w:ascii="Univers" w:eastAsia="Open Sans" w:hAnsi="Univers" w:cs="Open Sans"/>
          <w:sz w:val="20"/>
          <w:szCs w:val="20"/>
        </w:rPr>
      </w:pPr>
    </w:p>
    <w:p w14:paraId="0000000D" w14:textId="77777777" w:rsidR="00633311" w:rsidRPr="00C97568" w:rsidRDefault="00000000">
      <w:pPr>
        <w:jc w:val="both"/>
        <w:rPr>
          <w:rFonts w:ascii="Univers" w:eastAsia="Open Sans" w:hAnsi="Univers" w:cs="Open Sans"/>
          <w:sz w:val="20"/>
          <w:szCs w:val="20"/>
        </w:rPr>
      </w:pPr>
      <w:r w:rsidRPr="00C97568">
        <w:rPr>
          <w:rFonts w:ascii="Univers" w:eastAsia="Open Sans" w:hAnsi="Univers" w:cs="Open Sans"/>
          <w:sz w:val="20"/>
          <w:szCs w:val="20"/>
        </w:rPr>
        <w:t>Meetings with regulators must be preceded by internal preparation that establishes the purpose of the meeting, the position the Chamber intends to convey, and the individuals authorised to speak on the Chamber's behalf. Where more than one Chamber representative attends, roles must be agreed in advance to avoid inconsistent or contradictory statements. A written record of the meeting, including matters discussed and any commitments made, must be prepared promptly afterward.</w:t>
      </w:r>
    </w:p>
    <w:p w14:paraId="0000000E" w14:textId="77777777" w:rsidR="00633311" w:rsidRPr="00C97568" w:rsidRDefault="00633311">
      <w:pPr>
        <w:jc w:val="both"/>
        <w:rPr>
          <w:rFonts w:ascii="Univers" w:eastAsia="Open Sans" w:hAnsi="Univers" w:cs="Open Sans"/>
          <w:b/>
          <w:bCs/>
          <w:sz w:val="20"/>
          <w:szCs w:val="20"/>
        </w:rPr>
      </w:pPr>
    </w:p>
    <w:p w14:paraId="0000000F" w14:textId="77777777" w:rsidR="00633311" w:rsidRPr="00C97568" w:rsidRDefault="00000000">
      <w:pPr>
        <w:jc w:val="both"/>
        <w:rPr>
          <w:rFonts w:ascii="Univers" w:eastAsia="Open Sans" w:hAnsi="Univers" w:cs="Open Sans"/>
          <w:b/>
          <w:bCs/>
          <w:sz w:val="24"/>
          <w:szCs w:val="24"/>
        </w:rPr>
      </w:pPr>
      <w:r w:rsidRPr="00C97568">
        <w:rPr>
          <w:rFonts w:ascii="Univers" w:eastAsia="Open Sans" w:hAnsi="Univers" w:cs="Open Sans"/>
          <w:b/>
          <w:bCs/>
          <w:sz w:val="24"/>
          <w:szCs w:val="24"/>
        </w:rPr>
        <w:t>4. Submission Protocols</w:t>
      </w:r>
    </w:p>
    <w:p w14:paraId="00000010" w14:textId="77777777" w:rsidR="00633311" w:rsidRPr="00C97568" w:rsidRDefault="00633311">
      <w:pPr>
        <w:jc w:val="both"/>
        <w:rPr>
          <w:rFonts w:ascii="Univers" w:eastAsia="Open Sans" w:hAnsi="Univers" w:cs="Open Sans"/>
          <w:sz w:val="20"/>
          <w:szCs w:val="20"/>
        </w:rPr>
      </w:pPr>
    </w:p>
    <w:p w14:paraId="00000011" w14:textId="77777777" w:rsidR="00633311" w:rsidRPr="00C97568" w:rsidRDefault="00000000">
      <w:pPr>
        <w:jc w:val="both"/>
        <w:rPr>
          <w:rFonts w:ascii="Univers" w:eastAsia="Open Sans" w:hAnsi="Univers" w:cs="Open Sans"/>
          <w:sz w:val="20"/>
          <w:szCs w:val="20"/>
        </w:rPr>
      </w:pPr>
      <w:r w:rsidRPr="00C97568">
        <w:rPr>
          <w:rFonts w:ascii="Univers" w:eastAsia="Open Sans" w:hAnsi="Univers" w:cs="Open Sans"/>
          <w:sz w:val="20"/>
          <w:szCs w:val="20"/>
        </w:rPr>
        <w:t>Formal submissions must be drafted with reference to existing Chamber policy positions and prior engagement in the same and related jurisdictions, consistent with the Cross-Jurisdictional Consultation &amp; Coordination Procedures. Submissions must be reviewed internally before lodgement to confirm factual accuracy, positional consistency and appropriate authorisation, and must be lodged only through the channels and within the timeframes specified by the relevant regulatory process.</w:t>
      </w:r>
    </w:p>
    <w:p w14:paraId="00000012" w14:textId="77777777" w:rsidR="00633311" w:rsidRPr="00C97568" w:rsidRDefault="00633311">
      <w:pPr>
        <w:jc w:val="both"/>
        <w:rPr>
          <w:rFonts w:ascii="Univers" w:eastAsia="Open Sans" w:hAnsi="Univers" w:cs="Open Sans"/>
          <w:b/>
          <w:bCs/>
          <w:sz w:val="20"/>
          <w:szCs w:val="20"/>
        </w:rPr>
      </w:pPr>
    </w:p>
    <w:p w14:paraId="00000013" w14:textId="77777777" w:rsidR="00633311" w:rsidRPr="00C97568" w:rsidRDefault="00000000">
      <w:pPr>
        <w:jc w:val="both"/>
        <w:rPr>
          <w:rFonts w:ascii="Univers" w:eastAsia="Open Sans" w:hAnsi="Univers" w:cs="Open Sans"/>
          <w:b/>
          <w:bCs/>
          <w:sz w:val="24"/>
          <w:szCs w:val="24"/>
        </w:rPr>
      </w:pPr>
      <w:r w:rsidRPr="00C97568">
        <w:rPr>
          <w:rFonts w:ascii="Univers" w:eastAsia="Open Sans" w:hAnsi="Univers" w:cs="Open Sans"/>
          <w:b/>
          <w:bCs/>
          <w:sz w:val="24"/>
          <w:szCs w:val="24"/>
        </w:rPr>
        <w:t>5. Authorisation Requirements</w:t>
      </w:r>
    </w:p>
    <w:p w14:paraId="00000014" w14:textId="77777777" w:rsidR="00633311" w:rsidRPr="00C97568" w:rsidRDefault="00633311">
      <w:pPr>
        <w:jc w:val="both"/>
        <w:rPr>
          <w:rFonts w:ascii="Univers" w:eastAsia="Open Sans" w:hAnsi="Univers" w:cs="Open Sans"/>
          <w:sz w:val="20"/>
          <w:szCs w:val="20"/>
        </w:rPr>
      </w:pPr>
    </w:p>
    <w:p w14:paraId="0000001A" w14:textId="3CBCE14F" w:rsidR="00633311" w:rsidRPr="00C97568" w:rsidRDefault="00000000">
      <w:pPr>
        <w:jc w:val="both"/>
        <w:rPr>
          <w:rFonts w:ascii="Univers" w:eastAsia="Open Sans" w:hAnsi="Univers" w:cs="Open Sans"/>
          <w:sz w:val="20"/>
          <w:szCs w:val="20"/>
        </w:rPr>
      </w:pPr>
      <w:r w:rsidRPr="00C97568">
        <w:rPr>
          <w:rFonts w:ascii="Univers" w:eastAsia="Open Sans" w:hAnsi="Univers" w:cs="Open Sans"/>
          <w:sz w:val="20"/>
          <w:szCs w:val="20"/>
        </w:rPr>
        <w:t>No individual may commit the Chamber to a position in a regulatory meeting or submission without authorisation consistent with the Chamber's governance architecture and Decision-Making Procedures &amp; Approval Pathways. Where a matter raised in a meeting exceeds the authority of those present, it must be taken on notice and addressed through the appropriate internal process before a Chamber position is communicated.</w:t>
      </w:r>
    </w:p>
    <w:p w14:paraId="0000001B" w14:textId="77777777" w:rsidR="00633311" w:rsidRPr="00C97568" w:rsidRDefault="00633311">
      <w:pPr>
        <w:jc w:val="both"/>
        <w:rPr>
          <w:rFonts w:ascii="Univers" w:eastAsia="Open Sans" w:hAnsi="Univers" w:cs="Open Sans"/>
          <w:b/>
          <w:bCs/>
          <w:sz w:val="20"/>
          <w:szCs w:val="20"/>
        </w:rPr>
      </w:pPr>
    </w:p>
    <w:p w14:paraId="0000001C" w14:textId="77777777" w:rsidR="00633311" w:rsidRPr="00C97568" w:rsidRDefault="00000000">
      <w:pPr>
        <w:jc w:val="both"/>
        <w:rPr>
          <w:rFonts w:ascii="Univers" w:eastAsia="Open Sans" w:hAnsi="Univers" w:cs="Open Sans"/>
          <w:b/>
          <w:bCs/>
          <w:sz w:val="24"/>
          <w:szCs w:val="24"/>
        </w:rPr>
      </w:pPr>
      <w:r w:rsidRPr="00C97568">
        <w:rPr>
          <w:rFonts w:ascii="Univers" w:eastAsia="Open Sans" w:hAnsi="Univers" w:cs="Open Sans"/>
          <w:b/>
          <w:bCs/>
          <w:sz w:val="24"/>
          <w:szCs w:val="24"/>
        </w:rPr>
        <w:t>6. Documentation and Follow-Up</w:t>
      </w:r>
    </w:p>
    <w:p w14:paraId="0000001D" w14:textId="77777777" w:rsidR="00633311" w:rsidRPr="00C97568" w:rsidRDefault="00633311">
      <w:pPr>
        <w:jc w:val="both"/>
        <w:rPr>
          <w:rFonts w:ascii="Univers" w:eastAsia="Open Sans" w:hAnsi="Univers" w:cs="Open Sans"/>
          <w:sz w:val="20"/>
          <w:szCs w:val="20"/>
        </w:rPr>
      </w:pPr>
    </w:p>
    <w:p w14:paraId="0000001E" w14:textId="77777777" w:rsidR="00633311" w:rsidRPr="00C97568" w:rsidRDefault="00000000">
      <w:pPr>
        <w:jc w:val="both"/>
        <w:rPr>
          <w:rFonts w:ascii="Univers" w:eastAsia="Open Sans" w:hAnsi="Univers" w:cs="Open Sans"/>
          <w:sz w:val="20"/>
          <w:szCs w:val="20"/>
        </w:rPr>
      </w:pPr>
      <w:r w:rsidRPr="00C97568">
        <w:rPr>
          <w:rFonts w:ascii="Univers" w:eastAsia="Open Sans" w:hAnsi="Univers" w:cs="Open Sans"/>
          <w:sz w:val="20"/>
          <w:szCs w:val="20"/>
        </w:rPr>
        <w:t>All meeting records and submissions, together with any regulator response, must be retained in accordance with the Record-Keeping &amp; Documentation Standards. Any follow-up action arising from a meeting or submission must be tracked to completion and reported to Executive Leadership where the matter is material.</w:t>
      </w:r>
    </w:p>
    <w:p w14:paraId="0000001F" w14:textId="77777777" w:rsidR="00633311" w:rsidRPr="00C97568" w:rsidRDefault="00633311">
      <w:pPr>
        <w:jc w:val="both"/>
        <w:rPr>
          <w:rFonts w:ascii="Univers" w:eastAsia="Open Sans" w:hAnsi="Univers" w:cs="Open Sans"/>
          <w:sz w:val="20"/>
          <w:szCs w:val="20"/>
        </w:rPr>
      </w:pPr>
    </w:p>
    <w:p w14:paraId="00000020" w14:textId="77777777" w:rsidR="00633311" w:rsidRPr="00C97568" w:rsidRDefault="00000000">
      <w:pPr>
        <w:jc w:val="both"/>
        <w:rPr>
          <w:rFonts w:ascii="Univers" w:eastAsia="Open Sans" w:hAnsi="Univers" w:cs="Open Sans"/>
          <w:b/>
          <w:bCs/>
          <w:sz w:val="24"/>
          <w:szCs w:val="24"/>
        </w:rPr>
      </w:pPr>
      <w:r w:rsidRPr="00C97568">
        <w:rPr>
          <w:rFonts w:ascii="Univers" w:eastAsia="Open Sans" w:hAnsi="Univers" w:cs="Open Sans"/>
          <w:b/>
          <w:bCs/>
          <w:sz w:val="24"/>
          <w:szCs w:val="24"/>
        </w:rPr>
        <w:t>7. Alignment with Governance Framework</w:t>
      </w:r>
    </w:p>
    <w:p w14:paraId="00000021" w14:textId="77777777" w:rsidR="00633311" w:rsidRPr="00C97568" w:rsidRDefault="00633311">
      <w:pPr>
        <w:jc w:val="both"/>
        <w:rPr>
          <w:rFonts w:ascii="Univers" w:eastAsia="Open Sans" w:hAnsi="Univers" w:cs="Open Sans"/>
          <w:sz w:val="20"/>
          <w:szCs w:val="20"/>
        </w:rPr>
      </w:pPr>
    </w:p>
    <w:p w14:paraId="00000022" w14:textId="77777777" w:rsidR="00633311" w:rsidRPr="00C97568" w:rsidRDefault="00000000">
      <w:pPr>
        <w:jc w:val="both"/>
        <w:rPr>
          <w:rFonts w:ascii="Univers" w:eastAsia="Open Sans" w:hAnsi="Univers" w:cs="Open Sans"/>
          <w:sz w:val="20"/>
          <w:szCs w:val="20"/>
        </w:rPr>
      </w:pPr>
      <w:r w:rsidRPr="00C97568">
        <w:rPr>
          <w:rFonts w:ascii="Univers" w:eastAsia="Open Sans" w:hAnsi="Univers" w:cs="Open Sans"/>
          <w:sz w:val="20"/>
          <w:szCs w:val="20"/>
        </w:rPr>
        <w:lastRenderedPageBreak/>
        <w:t>These protocols ensure that the Chamber's most consequential regulatory interactions are conducted with the rigour, consistency and accountability expected of an institution operating across diverse regulatory environments.</w:t>
      </w:r>
    </w:p>
    <w:p w14:paraId="00000023" w14:textId="77777777" w:rsidR="00633311" w:rsidRPr="00C97568" w:rsidRDefault="00633311">
      <w:pPr>
        <w:jc w:val="both"/>
        <w:rPr>
          <w:rFonts w:ascii="Univers" w:eastAsia="Open Sans" w:hAnsi="Univers" w:cs="Open Sans"/>
          <w:sz w:val="20"/>
          <w:szCs w:val="20"/>
        </w:rPr>
      </w:pPr>
    </w:p>
    <w:sectPr w:rsidR="00633311" w:rsidRPr="00C9756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85557E5-DF15-481E-AA16-8A9DC5590E69}"/>
    <w:embedItalic r:id="rId2" w:fontKey="{67793747-F090-4BBD-BAB6-A4BFB0043CB4}"/>
  </w:font>
  <w:font w:name="Play">
    <w:charset w:val="00"/>
    <w:family w:val="auto"/>
    <w:pitch w:val="default"/>
    <w:embedRegular r:id="rId3" w:fontKey="{D926B416-158E-46ED-99CD-2C79B4D8044B}"/>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11C54013-AE75-4804-AF26-D2E4D1CA4B48}"/>
    <w:embedBold r:id="rId5" w:fontKey="{DB62439F-C14B-4AA6-BB9C-7945BC930CC0}"/>
  </w:font>
  <w:font w:name="Open Sans">
    <w:charset w:val="00"/>
    <w:family w:val="swiss"/>
    <w:pitch w:val="variable"/>
    <w:sig w:usb0="E00002EF" w:usb1="4000205B" w:usb2="00000028" w:usb3="00000000" w:csb0="0000019F" w:csb1="00000000"/>
    <w:embedRegular r:id="rId6" w:fontKey="{085CCFAC-0771-4800-A99D-5FF26C71B49B}"/>
    <w:embedBold r:id="rId7" w:fontKey="{996F3CE2-CF08-4109-BA2C-A523F59F405C}"/>
  </w:font>
  <w:font w:name="Calibri">
    <w:panose1 w:val="020F0502020204030204"/>
    <w:charset w:val="00"/>
    <w:family w:val="swiss"/>
    <w:pitch w:val="variable"/>
    <w:sig w:usb0="E4002EFF" w:usb1="C200247B" w:usb2="00000009" w:usb3="00000000" w:csb0="000001FF" w:csb1="00000000"/>
    <w:embedRegular r:id="rId8" w:fontKey="{650D335A-B569-4A63-8EC8-852126A828A3}"/>
  </w:font>
  <w:font w:name="Cambria">
    <w:panose1 w:val="02040503050406030204"/>
    <w:charset w:val="00"/>
    <w:family w:val="roman"/>
    <w:pitch w:val="variable"/>
    <w:sig w:usb0="E00006FF" w:usb1="420024FF" w:usb2="02000000" w:usb3="00000000" w:csb0="0000019F" w:csb1="00000000"/>
    <w:embedRegular r:id="rId9" w:fontKey="{DE97E6DE-F089-4507-9370-8CD1709AAB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311"/>
    <w:rsid w:val="00633311"/>
    <w:rsid w:val="00683282"/>
    <w:rsid w:val="00C975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FBAD"/>
  <w15:docId w15:val="{DBCE3F3F-FC52-4909-A3C0-63B52F08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PmvdwB42tYL0ub1glgElh6cmOw==">CgMxLjA4AHIhMXJiTXh4M3cwbG9CV0F6OGp4ek1fYkUwbXBDdFdGaXlK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2543</Characters>
  <Application>Microsoft Office Word</Application>
  <DocSecurity>0</DocSecurity>
  <Lines>21</Lines>
  <Paragraphs>5</Paragraphs>
  <ScaleCrop>false</ScaleCrop>
  <Company>Department of Education</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2026-07-23T09:12:00Z</dcterms:created>
  <dcterms:modified xsi:type="dcterms:W3CDTF">2026-07-23T09:12:00Z</dcterms:modified>
</cp:coreProperties>
</file>