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1C88" w:rsidRPr="002E1F76" w:rsidRDefault="00000000">
      <w:pPr>
        <w:jc w:val="center"/>
        <w:rPr>
          <w:rFonts w:ascii="Univers" w:eastAsia="Open Sans" w:hAnsi="Univers" w:cs="Open Sans"/>
          <w:b/>
          <w:bCs/>
          <w:sz w:val="24"/>
          <w:szCs w:val="24"/>
        </w:rPr>
      </w:pPr>
      <w:r w:rsidRPr="002E1F76">
        <w:rPr>
          <w:rFonts w:ascii="Univers" w:eastAsia="Open Sans" w:hAnsi="Univers" w:cs="Open Sans"/>
          <w:b/>
          <w:bCs/>
          <w:sz w:val="24"/>
          <w:szCs w:val="24"/>
        </w:rPr>
        <w:t>CROSS-JURISDICTIONAL COMMUNICATION &amp; INFORMATION-HANDLING GUIDELINES</w:t>
      </w:r>
    </w:p>
    <w:p w14:paraId="00000002" w14:textId="77777777" w:rsidR="00211C88" w:rsidRPr="002E1F76" w:rsidRDefault="00211C88">
      <w:pPr>
        <w:rPr>
          <w:rFonts w:ascii="Univers" w:eastAsia="Open Sans" w:hAnsi="Univers" w:cs="Open Sans"/>
          <w:sz w:val="20"/>
          <w:szCs w:val="20"/>
        </w:rPr>
      </w:pPr>
    </w:p>
    <w:p w14:paraId="00000003"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1. Purpose and Scope</w:t>
      </w:r>
    </w:p>
    <w:p w14:paraId="00000004" w14:textId="77777777" w:rsidR="00211C88" w:rsidRPr="002E1F76" w:rsidRDefault="00211C88">
      <w:pPr>
        <w:jc w:val="both"/>
        <w:rPr>
          <w:rFonts w:ascii="Univers" w:eastAsia="Open Sans" w:hAnsi="Univers" w:cs="Open Sans"/>
          <w:sz w:val="20"/>
          <w:szCs w:val="20"/>
        </w:rPr>
      </w:pPr>
    </w:p>
    <w:p w14:paraId="00000005"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This document sets out how the World Economic Chamber manages communication and information when activity spans more than one jurisdiction. It applies to correspondence, briefing materials, shared records and any other information that moves between Secretariat functions operating in, or engaging with, different regulatory environments.</w:t>
      </w:r>
    </w:p>
    <w:p w14:paraId="00000006" w14:textId="77777777" w:rsidR="00211C88" w:rsidRPr="002E1F76" w:rsidRDefault="00211C88">
      <w:pPr>
        <w:jc w:val="both"/>
        <w:rPr>
          <w:rFonts w:ascii="Univers" w:eastAsia="Open Sans" w:hAnsi="Univers" w:cs="Open Sans"/>
          <w:b/>
          <w:bCs/>
          <w:sz w:val="20"/>
          <w:szCs w:val="20"/>
        </w:rPr>
      </w:pPr>
    </w:p>
    <w:p w14:paraId="00000007"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2. Rationale</w:t>
      </w:r>
    </w:p>
    <w:p w14:paraId="00000008" w14:textId="77777777" w:rsidR="00211C88" w:rsidRPr="002E1F76" w:rsidRDefault="00211C88">
      <w:pPr>
        <w:jc w:val="both"/>
        <w:rPr>
          <w:rFonts w:ascii="Univers" w:eastAsia="Open Sans" w:hAnsi="Univers" w:cs="Open Sans"/>
          <w:sz w:val="20"/>
          <w:szCs w:val="20"/>
        </w:rPr>
      </w:pPr>
    </w:p>
    <w:p w14:paraId="00000009"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Information that is appropriate to share freely in one jurisdiction may be subject to different expectations, protections or restrictions in another. Communication conducted without regard to this variation risks breaching local requirements, exposing sensitive information inappropriately, or creating inconsistency between what is communicated in different settings. These guidelines exist to ensure that cross-jurisdictional communication is handled with the same care applied to regulatory correspondence.</w:t>
      </w:r>
    </w:p>
    <w:p w14:paraId="0000000A" w14:textId="77777777" w:rsidR="00211C88" w:rsidRPr="002E1F76" w:rsidRDefault="00211C88">
      <w:pPr>
        <w:jc w:val="both"/>
        <w:rPr>
          <w:rFonts w:ascii="Univers" w:eastAsia="Open Sans" w:hAnsi="Univers" w:cs="Open Sans"/>
          <w:b/>
          <w:bCs/>
          <w:sz w:val="20"/>
          <w:szCs w:val="20"/>
        </w:rPr>
      </w:pPr>
    </w:p>
    <w:p w14:paraId="0000000B"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3. Core Principles</w:t>
      </w:r>
    </w:p>
    <w:p w14:paraId="0000000C" w14:textId="77777777" w:rsidR="00211C88" w:rsidRPr="002E1F76" w:rsidRDefault="00211C88">
      <w:pPr>
        <w:jc w:val="both"/>
        <w:rPr>
          <w:rFonts w:ascii="Univers" w:eastAsia="Open Sans" w:hAnsi="Univers" w:cs="Open Sans"/>
          <w:sz w:val="20"/>
          <w:szCs w:val="20"/>
        </w:rPr>
      </w:pPr>
    </w:p>
    <w:p w14:paraId="0000000D"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Cross-jurisdictional communication is governed by proportionality, meaning that information is shared only to the extent necessary for the legitimate institutional purpose it serves; sensitivity awareness, meaning that the classification of information is assessed before it is shared across jurisdictional lines; and consistency, meaning that the substance of communication does not vary inappropriately depending on the jurisdiction in which it is received.</w:t>
      </w:r>
    </w:p>
    <w:p w14:paraId="0000000E" w14:textId="77777777" w:rsidR="00211C88" w:rsidRPr="002E1F76" w:rsidRDefault="00211C88">
      <w:pPr>
        <w:jc w:val="both"/>
        <w:rPr>
          <w:rFonts w:ascii="Univers" w:eastAsia="Open Sans" w:hAnsi="Univers" w:cs="Open Sans"/>
          <w:b/>
          <w:bCs/>
          <w:sz w:val="20"/>
          <w:szCs w:val="20"/>
        </w:rPr>
      </w:pPr>
    </w:p>
    <w:p w14:paraId="0000000F"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4. Sharing Information Across Jurisdictions</w:t>
      </w:r>
    </w:p>
    <w:p w14:paraId="00000010" w14:textId="77777777" w:rsidR="00211C88" w:rsidRPr="002E1F76" w:rsidRDefault="00211C88">
      <w:pPr>
        <w:jc w:val="both"/>
        <w:rPr>
          <w:rFonts w:ascii="Univers" w:eastAsia="Open Sans" w:hAnsi="Univers" w:cs="Open Sans"/>
          <w:sz w:val="20"/>
          <w:szCs w:val="20"/>
        </w:rPr>
      </w:pPr>
    </w:p>
    <w:p w14:paraId="00000011"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Before information is shared between Secretariat functions operating in different jurisdictions, the originating function must confirm that sharing is consistent with any confidentiality obligations attached to the information, and that the receiving function has a legitimate institutional need for it. Where information originates from a regulator or external counterpart, sharing must also be consistent with the Regulatory Correspondence &amp; Information-Handling Guidelines.</w:t>
      </w:r>
    </w:p>
    <w:p w14:paraId="00000012" w14:textId="77777777" w:rsidR="00211C88" w:rsidRPr="002E1F76" w:rsidRDefault="00211C88">
      <w:pPr>
        <w:jc w:val="both"/>
        <w:rPr>
          <w:rFonts w:ascii="Univers" w:eastAsia="Open Sans" w:hAnsi="Univers" w:cs="Open Sans"/>
          <w:b/>
          <w:bCs/>
          <w:sz w:val="20"/>
          <w:szCs w:val="20"/>
        </w:rPr>
      </w:pPr>
    </w:p>
    <w:p w14:paraId="00000013"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5. Language, Format and Interpretation</w:t>
      </w:r>
    </w:p>
    <w:p w14:paraId="00000014" w14:textId="77777777" w:rsidR="00211C88" w:rsidRPr="002E1F76" w:rsidRDefault="00211C88">
      <w:pPr>
        <w:jc w:val="both"/>
        <w:rPr>
          <w:rFonts w:ascii="Univers" w:eastAsia="Open Sans" w:hAnsi="Univers" w:cs="Open Sans"/>
          <w:sz w:val="20"/>
          <w:szCs w:val="20"/>
        </w:rPr>
      </w:pPr>
    </w:p>
    <w:p w14:paraId="00000015"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Where communication is translated or adapted for a different jurisdiction, care must be taken to preserve the substantive meaning of the original communication. Any material difference introduced through translation or adaptation must be identified and, where necessary, escalated for review before the communication is used or relied upon.</w:t>
      </w:r>
    </w:p>
    <w:p w14:paraId="00000016" w14:textId="77777777" w:rsidR="00211C88" w:rsidRPr="002E1F76" w:rsidRDefault="00211C88">
      <w:pPr>
        <w:jc w:val="both"/>
        <w:rPr>
          <w:rFonts w:ascii="Univers" w:eastAsia="Open Sans" w:hAnsi="Univers" w:cs="Open Sans"/>
          <w:b/>
          <w:bCs/>
          <w:sz w:val="20"/>
          <w:szCs w:val="20"/>
        </w:rPr>
      </w:pPr>
    </w:p>
    <w:p w14:paraId="00000017"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6. Record-Keeping</w:t>
      </w:r>
    </w:p>
    <w:p w14:paraId="00000018" w14:textId="77777777" w:rsidR="00211C88" w:rsidRPr="002E1F76" w:rsidRDefault="00211C88">
      <w:pPr>
        <w:jc w:val="both"/>
        <w:rPr>
          <w:rFonts w:ascii="Univers" w:eastAsia="Open Sans" w:hAnsi="Univers" w:cs="Open Sans"/>
          <w:sz w:val="20"/>
          <w:szCs w:val="20"/>
        </w:rPr>
      </w:pPr>
    </w:p>
    <w:p w14:paraId="00000019"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All cross-jurisdictional communication of institutional significance must be retained in accordance with the Record-Keeping &amp; Documentation Standards, including a record of what was shared, with which function or counterpart, and the basis on which sharing was considered appropriate.</w:t>
      </w:r>
    </w:p>
    <w:p w14:paraId="0000001A" w14:textId="77777777" w:rsidR="00211C88" w:rsidRPr="002E1F76" w:rsidRDefault="00211C88">
      <w:pPr>
        <w:jc w:val="both"/>
        <w:rPr>
          <w:rFonts w:ascii="Univers" w:eastAsia="Open Sans" w:hAnsi="Univers" w:cs="Open Sans"/>
          <w:sz w:val="20"/>
          <w:szCs w:val="20"/>
        </w:rPr>
      </w:pPr>
    </w:p>
    <w:p w14:paraId="0000001B" w14:textId="77777777" w:rsidR="00211C88" w:rsidRPr="002E1F76" w:rsidRDefault="00000000">
      <w:pPr>
        <w:jc w:val="both"/>
        <w:rPr>
          <w:rFonts w:ascii="Univers" w:eastAsia="Open Sans" w:hAnsi="Univers" w:cs="Open Sans"/>
          <w:b/>
          <w:bCs/>
          <w:sz w:val="24"/>
          <w:szCs w:val="24"/>
        </w:rPr>
      </w:pPr>
      <w:r w:rsidRPr="002E1F76">
        <w:rPr>
          <w:rFonts w:ascii="Univers" w:eastAsia="Open Sans" w:hAnsi="Univers" w:cs="Open Sans"/>
          <w:b/>
          <w:bCs/>
          <w:sz w:val="24"/>
          <w:szCs w:val="24"/>
        </w:rPr>
        <w:t>7. Alignment with Governance Framework</w:t>
      </w:r>
    </w:p>
    <w:p w14:paraId="0000001C" w14:textId="77777777" w:rsidR="00211C88" w:rsidRPr="002E1F76" w:rsidRDefault="00211C88">
      <w:pPr>
        <w:jc w:val="both"/>
        <w:rPr>
          <w:rFonts w:ascii="Univers" w:eastAsia="Open Sans" w:hAnsi="Univers" w:cs="Open Sans"/>
          <w:sz w:val="20"/>
          <w:szCs w:val="20"/>
        </w:rPr>
      </w:pPr>
    </w:p>
    <w:p w14:paraId="0000001D" w14:textId="77777777" w:rsidR="00211C88" w:rsidRPr="002E1F76" w:rsidRDefault="00000000">
      <w:pPr>
        <w:jc w:val="both"/>
        <w:rPr>
          <w:rFonts w:ascii="Univers" w:eastAsia="Open Sans" w:hAnsi="Univers" w:cs="Open Sans"/>
          <w:sz w:val="20"/>
          <w:szCs w:val="20"/>
        </w:rPr>
      </w:pPr>
      <w:r w:rsidRPr="002E1F76">
        <w:rPr>
          <w:rFonts w:ascii="Univers" w:eastAsia="Open Sans" w:hAnsi="Univers" w:cs="Open Sans"/>
          <w:sz w:val="20"/>
          <w:szCs w:val="20"/>
        </w:rPr>
        <w:t xml:space="preserve">These guidelines protect the integrity of information as it moves across the Chamber's international operations. They ensure that communication remains accurate, appropriately </w:t>
      </w:r>
      <w:r w:rsidRPr="002E1F76">
        <w:rPr>
          <w:rFonts w:ascii="Univers" w:eastAsia="Open Sans" w:hAnsi="Univers" w:cs="Open Sans"/>
          <w:sz w:val="20"/>
          <w:szCs w:val="20"/>
        </w:rPr>
        <w:lastRenderedPageBreak/>
        <w:t>controlled and consistent in substance, reinforcing the discipline expected of an institution that operates simultaneously across diverse regulatory and informational environments.</w:t>
      </w:r>
    </w:p>
    <w:p w14:paraId="0000001E" w14:textId="77777777" w:rsidR="00211C88" w:rsidRPr="002E1F76" w:rsidRDefault="00211C88">
      <w:pPr>
        <w:rPr>
          <w:rFonts w:ascii="Univers" w:eastAsia="Open Sans" w:hAnsi="Univers" w:cs="Open Sans"/>
          <w:sz w:val="20"/>
          <w:szCs w:val="20"/>
        </w:rPr>
      </w:pPr>
    </w:p>
    <w:sectPr w:rsidR="00211C88" w:rsidRPr="002E1F7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B450DD6-8043-4BE8-952E-80A45853B956}"/>
    <w:embedItalic r:id="rId2" w:fontKey="{09247956-0B6D-421F-B3E1-18914FD4D556}"/>
  </w:font>
  <w:font w:name="Play">
    <w:charset w:val="00"/>
    <w:family w:val="auto"/>
    <w:pitch w:val="default"/>
    <w:embedRegular r:id="rId3" w:fontKey="{F2E45308-8A0F-4452-94C8-B59E1E578EB5}"/>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A17C0827-84DE-49C3-9056-19E710AA1F16}"/>
    <w:embedBold r:id="rId5" w:fontKey="{86143EF0-A3D9-4770-98AB-2D323311B2E2}"/>
  </w:font>
  <w:font w:name="Open Sans">
    <w:charset w:val="00"/>
    <w:family w:val="swiss"/>
    <w:pitch w:val="variable"/>
    <w:sig w:usb0="E00002EF" w:usb1="4000205B" w:usb2="00000028" w:usb3="00000000" w:csb0="0000019F" w:csb1="00000000"/>
    <w:embedRegular r:id="rId6" w:fontKey="{AC7E6E2F-07D9-411F-B08B-025DBBF48E2F}"/>
    <w:embedBold r:id="rId7" w:fontKey="{182C7326-5DD8-4143-82A4-7C0A16262A33}"/>
  </w:font>
  <w:font w:name="Calibri">
    <w:panose1 w:val="020F0502020204030204"/>
    <w:charset w:val="00"/>
    <w:family w:val="swiss"/>
    <w:pitch w:val="variable"/>
    <w:sig w:usb0="E4002EFF" w:usb1="C200247B" w:usb2="00000009" w:usb3="00000000" w:csb0="000001FF" w:csb1="00000000"/>
    <w:embedRegular r:id="rId8" w:fontKey="{68CDD7D3-4A4D-442B-8C58-06EA5B50F80D}"/>
  </w:font>
  <w:font w:name="Cambria">
    <w:panose1 w:val="02040503050406030204"/>
    <w:charset w:val="00"/>
    <w:family w:val="roman"/>
    <w:pitch w:val="variable"/>
    <w:sig w:usb0="E00006FF" w:usb1="420024FF" w:usb2="02000000" w:usb3="00000000" w:csb0="0000019F" w:csb1="00000000"/>
    <w:embedRegular r:id="rId9" w:fontKey="{6ECB4735-4500-4849-8D48-130D2F8881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C88"/>
    <w:rsid w:val="00115F3B"/>
    <w:rsid w:val="00211C88"/>
    <w:rsid w:val="002E1F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81E14E-AC23-4B6B-83A4-6C0E140FE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po/9iRQcBAhA65FjLcF6cz0sQ==">CgMxLjA4AHIhMWpucnpXOVRFM2NmTVdNNlhsR09POVhQaV9ta2VuVEst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2592</Characters>
  <Application>Microsoft Office Word</Application>
  <DocSecurity>0</DocSecurity>
  <Lines>21</Lines>
  <Paragraphs>6</Paragraphs>
  <ScaleCrop>false</ScaleCrop>
  <Company>Department of Education</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2026-07-23T09:15:00Z</dcterms:created>
  <dcterms:modified xsi:type="dcterms:W3CDTF">2026-07-23T09:15:00Z</dcterms:modified>
</cp:coreProperties>
</file>