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E1D9" w14:textId="611987E7" w:rsidR="00A41A35" w:rsidRPr="00B23C1A" w:rsidRDefault="00AB0363" w:rsidP="00AB0363">
      <w:pPr>
        <w:jc w:val="center"/>
        <w:rPr>
          <w:b/>
          <w:bCs/>
          <w:sz w:val="24"/>
          <w:szCs w:val="24"/>
        </w:rPr>
      </w:pPr>
      <w:r w:rsidRPr="00B23C1A">
        <w:rPr>
          <w:b/>
          <w:bCs/>
          <w:sz w:val="24"/>
          <w:szCs w:val="24"/>
        </w:rPr>
        <w:t>ETHICAL AND CONDUCT POLICIES</w:t>
      </w:r>
    </w:p>
    <w:p w14:paraId="55ED7C77" w14:textId="77777777" w:rsidR="00AB0363" w:rsidRDefault="00AB0363"/>
    <w:p w14:paraId="56986C06" w14:textId="77777777" w:rsidR="00AB0363" w:rsidRDefault="00AB0363"/>
    <w:p w14:paraId="32B66A1C" w14:textId="77777777" w:rsidR="003F5CA8" w:rsidRDefault="003F5CA8" w:rsidP="003F5CA8">
      <w:r>
        <w:t>The World Economic Chamber’s Ethical and Conduct Policies set the behavioural expectations for all organisations that participate in its work. They reflect the seriousness of operating across jurisdictions where regulatory obligations, cultural norms and commercial responsibilities differ, yet must be respected with equal discipline. These policies ensure that member institutions conduct themselves in a manner consistent with the Chamber’s principles of integrity, independence and professional responsibility. They provide a clear framework for conduct that supports predictable, transparent and responsible international business relations.</w:t>
      </w:r>
    </w:p>
    <w:p w14:paraId="1B1190F0" w14:textId="77777777" w:rsidR="003F5CA8" w:rsidRDefault="003F5CA8" w:rsidP="003F5CA8"/>
    <w:p w14:paraId="157BE065" w14:textId="0BF1F5B9" w:rsidR="00AB0363" w:rsidRDefault="003F5CA8" w:rsidP="003F5CA8">
      <w:r>
        <w:t>The policies also serve as a safeguard for the Chamber’s institutional credibility. They define the standards that govern interactions within the organisation, engagement with public bodies and participation in cross</w:t>
      </w:r>
      <w:r>
        <w:rPr>
          <w:rFonts w:ascii="Cambria Math" w:hAnsi="Cambria Math" w:cs="Cambria Math"/>
        </w:rPr>
        <w:t>‑</w:t>
      </w:r>
      <w:r>
        <w:t>border initiatives. By establishing clear expectations and consequences for misconduct, the Ethical and Conduct Policies reinforce the Chamber</w:t>
      </w:r>
      <w:r>
        <w:rPr>
          <w:rFonts w:ascii="Aptos" w:hAnsi="Aptos" w:cs="Aptos"/>
        </w:rPr>
        <w:t>’</w:t>
      </w:r>
      <w:r>
        <w:t>s commitment to maintaining a professional environment where organisations can engage with confidence. They ensure that membership carries not only privileges, but obligations—obligations that strengthen the Chamber’s role as a disciplined and principled institution in the international economic landscape.</w:t>
      </w:r>
    </w:p>
    <w:p w14:paraId="36D1D65D" w14:textId="77777777" w:rsidR="003F5CA8" w:rsidRDefault="003F5CA8" w:rsidP="003F5CA8"/>
    <w:p w14:paraId="59953B7A" w14:textId="7A51CD09" w:rsidR="00C02CDB" w:rsidRPr="00B23C1A" w:rsidRDefault="00C02CDB" w:rsidP="00B23C1A">
      <w:pPr>
        <w:pStyle w:val="ListParagraph"/>
        <w:numPr>
          <w:ilvl w:val="0"/>
          <w:numId w:val="1"/>
        </w:numPr>
        <w:tabs>
          <w:tab w:val="left" w:pos="426"/>
        </w:tabs>
        <w:ind w:hanging="720"/>
      </w:pPr>
      <w:r w:rsidRPr="00B23C1A">
        <w:t xml:space="preserve">Member Conduct &amp; Professional Standards Policy  </w:t>
      </w:r>
    </w:p>
    <w:p w14:paraId="2976E666" w14:textId="15B26B7B" w:rsidR="00C02CDB" w:rsidRPr="00B23C1A" w:rsidRDefault="00C02CDB" w:rsidP="00B23C1A">
      <w:pPr>
        <w:pStyle w:val="ListParagraph"/>
        <w:numPr>
          <w:ilvl w:val="0"/>
          <w:numId w:val="1"/>
        </w:numPr>
        <w:tabs>
          <w:tab w:val="left" w:pos="426"/>
        </w:tabs>
        <w:ind w:hanging="720"/>
      </w:pPr>
      <w:r w:rsidRPr="00B23C1A">
        <w:t>Conflict</w:t>
      </w:r>
      <w:r w:rsidRPr="00B23C1A">
        <w:rPr>
          <w:rFonts w:ascii="Cambria Math" w:hAnsi="Cambria Math" w:cs="Cambria Math"/>
        </w:rPr>
        <w:t>‑</w:t>
      </w:r>
      <w:r w:rsidRPr="00B23C1A">
        <w:t>of</w:t>
      </w:r>
      <w:r w:rsidRPr="00B23C1A">
        <w:rPr>
          <w:rFonts w:ascii="Cambria Math" w:hAnsi="Cambria Math" w:cs="Cambria Math"/>
        </w:rPr>
        <w:t>‑</w:t>
      </w:r>
      <w:r w:rsidRPr="00B23C1A">
        <w:t xml:space="preserve">Interest Management Policy  </w:t>
      </w:r>
    </w:p>
    <w:p w14:paraId="0938A4FB" w14:textId="536DF4EB" w:rsidR="00C02CDB" w:rsidRPr="00B23C1A" w:rsidRDefault="00C02CDB" w:rsidP="00B23C1A">
      <w:pPr>
        <w:pStyle w:val="ListParagraph"/>
        <w:numPr>
          <w:ilvl w:val="0"/>
          <w:numId w:val="1"/>
        </w:numPr>
        <w:tabs>
          <w:tab w:val="left" w:pos="426"/>
        </w:tabs>
        <w:ind w:hanging="720"/>
      </w:pPr>
      <w:r w:rsidRPr="00B23C1A">
        <w:t xml:space="preserve">Ethical Business Practices &amp; Compliance Policy  </w:t>
      </w:r>
    </w:p>
    <w:p w14:paraId="078B8D53" w14:textId="1E3C453B" w:rsidR="00AB0363" w:rsidRPr="00B23C1A" w:rsidRDefault="00C02CDB" w:rsidP="00B23C1A">
      <w:pPr>
        <w:pStyle w:val="ListParagraph"/>
        <w:numPr>
          <w:ilvl w:val="0"/>
          <w:numId w:val="1"/>
        </w:numPr>
        <w:tabs>
          <w:tab w:val="left" w:pos="426"/>
        </w:tabs>
        <w:ind w:hanging="720"/>
      </w:pPr>
      <w:r w:rsidRPr="00B23C1A">
        <w:t>Jurisdictional Respect &amp; Regulatory Adherence Policy</w:t>
      </w:r>
    </w:p>
    <w:p w14:paraId="5D810896" w14:textId="77777777" w:rsidR="00C02CDB" w:rsidRDefault="00C02CDB" w:rsidP="00C02CDB"/>
    <w:p w14:paraId="59EC2291" w14:textId="77777777" w:rsidR="00C02CDB" w:rsidRDefault="00C02CDB" w:rsidP="00C02CDB"/>
    <w:sectPr w:rsidR="00C02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0018E"/>
    <w:multiLevelType w:val="hybridMultilevel"/>
    <w:tmpl w:val="B5B6AB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12488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10"/>
    <w:rsid w:val="002224FB"/>
    <w:rsid w:val="002E4FC1"/>
    <w:rsid w:val="003F5CA8"/>
    <w:rsid w:val="004354FE"/>
    <w:rsid w:val="005258F9"/>
    <w:rsid w:val="00627EF6"/>
    <w:rsid w:val="00765425"/>
    <w:rsid w:val="007C269C"/>
    <w:rsid w:val="0086417D"/>
    <w:rsid w:val="008C2806"/>
    <w:rsid w:val="0090131E"/>
    <w:rsid w:val="00A41A35"/>
    <w:rsid w:val="00A67237"/>
    <w:rsid w:val="00AB0363"/>
    <w:rsid w:val="00B23C1A"/>
    <w:rsid w:val="00B365CE"/>
    <w:rsid w:val="00BC4381"/>
    <w:rsid w:val="00C02CDB"/>
    <w:rsid w:val="00C3515B"/>
    <w:rsid w:val="00C44010"/>
    <w:rsid w:val="00D428EB"/>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AC25D"/>
  <w15:chartTrackingRefBased/>
  <w15:docId w15:val="{471FEF86-F6E0-4B2A-AF45-8F8E0863B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0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0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0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0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010"/>
    <w:rPr>
      <w:rFonts w:eastAsiaTheme="majorEastAsia" w:cstheme="majorBidi"/>
      <w:color w:val="272727" w:themeColor="text1" w:themeTint="D8"/>
    </w:rPr>
  </w:style>
  <w:style w:type="paragraph" w:styleId="Title">
    <w:name w:val="Title"/>
    <w:basedOn w:val="Normal"/>
    <w:next w:val="Normal"/>
    <w:link w:val="TitleChar"/>
    <w:uiPriority w:val="10"/>
    <w:qFormat/>
    <w:rsid w:val="00C440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0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0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4010"/>
    <w:rPr>
      <w:i/>
      <w:iCs/>
      <w:color w:val="404040" w:themeColor="text1" w:themeTint="BF"/>
    </w:rPr>
  </w:style>
  <w:style w:type="paragraph" w:styleId="ListParagraph">
    <w:name w:val="List Paragraph"/>
    <w:basedOn w:val="Normal"/>
    <w:uiPriority w:val="34"/>
    <w:qFormat/>
    <w:rsid w:val="00C44010"/>
    <w:pPr>
      <w:ind w:left="720"/>
      <w:contextualSpacing/>
    </w:pPr>
  </w:style>
  <w:style w:type="character" w:styleId="IntenseEmphasis">
    <w:name w:val="Intense Emphasis"/>
    <w:basedOn w:val="DefaultParagraphFont"/>
    <w:uiPriority w:val="21"/>
    <w:qFormat/>
    <w:rsid w:val="00C44010"/>
    <w:rPr>
      <w:i/>
      <w:iCs/>
      <w:color w:val="0F4761" w:themeColor="accent1" w:themeShade="BF"/>
    </w:rPr>
  </w:style>
  <w:style w:type="paragraph" w:styleId="IntenseQuote">
    <w:name w:val="Intense Quote"/>
    <w:basedOn w:val="Normal"/>
    <w:next w:val="Normal"/>
    <w:link w:val="IntenseQuoteChar"/>
    <w:uiPriority w:val="30"/>
    <w:qFormat/>
    <w:rsid w:val="00C44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010"/>
    <w:rPr>
      <w:i/>
      <w:iCs/>
      <w:color w:val="0F4761" w:themeColor="accent1" w:themeShade="BF"/>
    </w:rPr>
  </w:style>
  <w:style w:type="character" w:styleId="IntenseReference">
    <w:name w:val="Intense Reference"/>
    <w:basedOn w:val="DefaultParagraphFont"/>
    <w:uiPriority w:val="32"/>
    <w:qFormat/>
    <w:rsid w:val="00C44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2026-07-19T11:06:00Z</dcterms:created>
  <dcterms:modified xsi:type="dcterms:W3CDTF">2026-07-19T13:47:00Z</dcterms:modified>
</cp:coreProperties>
</file>