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A66F7" w:rsidRPr="000341F8" w:rsidRDefault="00000000">
      <w:pPr>
        <w:jc w:val="center"/>
        <w:rPr>
          <w:rFonts w:ascii="Univers" w:eastAsia="Open Sans" w:hAnsi="Univers" w:cs="Open Sans"/>
          <w:b/>
          <w:bCs/>
          <w:sz w:val="24"/>
          <w:szCs w:val="24"/>
        </w:rPr>
      </w:pPr>
      <w:r w:rsidRPr="000341F8">
        <w:rPr>
          <w:rFonts w:ascii="Univers" w:eastAsia="Open Sans" w:hAnsi="Univers" w:cs="Open Sans"/>
          <w:b/>
          <w:bCs/>
          <w:sz w:val="24"/>
          <w:szCs w:val="24"/>
        </w:rPr>
        <w:t>PROGRAM DESIGN AND APPROVAL PROTOCOLS</w:t>
      </w:r>
    </w:p>
    <w:p w14:paraId="00000002" w14:textId="77777777" w:rsidR="000A66F7" w:rsidRPr="000341F8" w:rsidRDefault="000A66F7">
      <w:pPr>
        <w:jc w:val="both"/>
        <w:rPr>
          <w:rFonts w:ascii="Univers" w:eastAsia="Open Sans" w:hAnsi="Univers" w:cs="Open Sans"/>
          <w:sz w:val="20"/>
          <w:szCs w:val="20"/>
        </w:rPr>
      </w:pPr>
    </w:p>
    <w:p w14:paraId="00000003" w14:textId="77777777" w:rsidR="000A66F7" w:rsidRPr="000341F8" w:rsidRDefault="00000000">
      <w:pPr>
        <w:jc w:val="both"/>
        <w:rPr>
          <w:rFonts w:ascii="Univers" w:eastAsia="Open Sans" w:hAnsi="Univers" w:cs="Open Sans"/>
          <w:b/>
          <w:bCs/>
          <w:sz w:val="24"/>
          <w:szCs w:val="24"/>
        </w:rPr>
      </w:pPr>
      <w:r w:rsidRPr="000341F8">
        <w:rPr>
          <w:rFonts w:ascii="Univers" w:eastAsia="Open Sans" w:hAnsi="Univers" w:cs="Open Sans"/>
          <w:b/>
          <w:bCs/>
          <w:sz w:val="24"/>
          <w:szCs w:val="24"/>
        </w:rPr>
        <w:t>1. Purpose and Scope</w:t>
      </w:r>
    </w:p>
    <w:p w14:paraId="00000004" w14:textId="77777777" w:rsidR="000A66F7" w:rsidRPr="000341F8" w:rsidRDefault="000A66F7">
      <w:pPr>
        <w:jc w:val="both"/>
        <w:rPr>
          <w:rFonts w:ascii="Univers" w:eastAsia="Open Sans" w:hAnsi="Univers" w:cs="Open Sans"/>
          <w:sz w:val="20"/>
          <w:szCs w:val="20"/>
        </w:rPr>
      </w:pPr>
    </w:p>
    <w:p w14:paraId="00000005" w14:textId="77777777" w:rsidR="000A66F7" w:rsidRPr="000341F8" w:rsidRDefault="00000000">
      <w:pPr>
        <w:jc w:val="both"/>
        <w:rPr>
          <w:rFonts w:ascii="Univers" w:eastAsia="Open Sans" w:hAnsi="Univers" w:cs="Open Sans"/>
          <w:sz w:val="20"/>
          <w:szCs w:val="20"/>
        </w:rPr>
      </w:pPr>
      <w:r w:rsidRPr="000341F8">
        <w:rPr>
          <w:rFonts w:ascii="Univers" w:eastAsia="Open Sans" w:hAnsi="Univers" w:cs="Open Sans"/>
          <w:sz w:val="20"/>
          <w:szCs w:val="20"/>
        </w:rPr>
        <w:t>The Program Design &amp; Approval Protocols set out how the World Economic Chamber develops institutional programs from initial concept through to formal approval. They apply to all programs undertaken under the Chamber's Programs &amp; Initiatives areas of focus, ensuring that each is grounded in institutional purpose rather than opportunistic activity, and that approval is granted only after structured assessment.</w:t>
      </w:r>
    </w:p>
    <w:p w14:paraId="00000006" w14:textId="77777777" w:rsidR="000A66F7" w:rsidRPr="000341F8" w:rsidRDefault="000A66F7">
      <w:pPr>
        <w:jc w:val="both"/>
        <w:rPr>
          <w:rFonts w:ascii="Univers" w:eastAsia="Open Sans" w:hAnsi="Univers" w:cs="Open Sans"/>
          <w:b/>
          <w:bCs/>
          <w:sz w:val="20"/>
          <w:szCs w:val="20"/>
        </w:rPr>
      </w:pPr>
    </w:p>
    <w:p w14:paraId="00000007" w14:textId="77777777" w:rsidR="000A66F7" w:rsidRPr="000341F8" w:rsidRDefault="00000000">
      <w:pPr>
        <w:jc w:val="both"/>
        <w:rPr>
          <w:rFonts w:ascii="Univers" w:eastAsia="Open Sans" w:hAnsi="Univers" w:cs="Open Sans"/>
          <w:b/>
          <w:bCs/>
          <w:sz w:val="24"/>
          <w:szCs w:val="24"/>
        </w:rPr>
      </w:pPr>
      <w:r w:rsidRPr="000341F8">
        <w:rPr>
          <w:rFonts w:ascii="Univers" w:eastAsia="Open Sans" w:hAnsi="Univers" w:cs="Open Sans"/>
          <w:b/>
          <w:bCs/>
          <w:sz w:val="24"/>
          <w:szCs w:val="24"/>
        </w:rPr>
        <w:t>2. Design Requirements</w:t>
      </w:r>
    </w:p>
    <w:p w14:paraId="00000008" w14:textId="77777777" w:rsidR="000A66F7" w:rsidRPr="000341F8" w:rsidRDefault="000A66F7">
      <w:pPr>
        <w:jc w:val="both"/>
        <w:rPr>
          <w:rFonts w:ascii="Univers" w:eastAsia="Open Sans" w:hAnsi="Univers" w:cs="Open Sans"/>
          <w:sz w:val="20"/>
          <w:szCs w:val="20"/>
        </w:rPr>
      </w:pPr>
    </w:p>
    <w:p w14:paraId="00000009" w14:textId="77777777" w:rsidR="000A66F7" w:rsidRPr="000341F8" w:rsidRDefault="00000000">
      <w:pPr>
        <w:jc w:val="both"/>
        <w:rPr>
          <w:rFonts w:ascii="Univers" w:eastAsia="Open Sans" w:hAnsi="Univers" w:cs="Open Sans"/>
          <w:sz w:val="20"/>
          <w:szCs w:val="20"/>
        </w:rPr>
      </w:pPr>
      <w:r w:rsidRPr="000341F8">
        <w:rPr>
          <w:rFonts w:ascii="Univers" w:eastAsia="Open Sans" w:hAnsi="Univers" w:cs="Open Sans"/>
          <w:sz w:val="20"/>
          <w:szCs w:val="20"/>
        </w:rPr>
        <w:t>Every proposed program must be developed with a defined rationale connecting it to the Chamber's mandate, a clear articulation of intended participants and outcomes, and an assessment of the cross-border or regulatory considerations it may raise. Design work must identify the resources, timelines and coordination required for delivery, and must specify how the program's progress will be monitored once underway. Programs proposed without this foundation are not eligible to proceed to approval.</w:t>
      </w:r>
    </w:p>
    <w:p w14:paraId="0000000A" w14:textId="77777777" w:rsidR="000A66F7" w:rsidRPr="000341F8" w:rsidRDefault="000A66F7">
      <w:pPr>
        <w:jc w:val="both"/>
        <w:rPr>
          <w:rFonts w:ascii="Univers" w:eastAsia="Open Sans" w:hAnsi="Univers" w:cs="Open Sans"/>
          <w:b/>
          <w:bCs/>
          <w:sz w:val="20"/>
          <w:szCs w:val="20"/>
        </w:rPr>
      </w:pPr>
    </w:p>
    <w:p w14:paraId="0000000B" w14:textId="77777777" w:rsidR="000A66F7" w:rsidRPr="000341F8" w:rsidRDefault="00000000">
      <w:pPr>
        <w:jc w:val="both"/>
        <w:rPr>
          <w:rFonts w:ascii="Univers" w:eastAsia="Open Sans" w:hAnsi="Univers" w:cs="Open Sans"/>
          <w:b/>
          <w:bCs/>
          <w:sz w:val="24"/>
          <w:szCs w:val="24"/>
        </w:rPr>
      </w:pPr>
      <w:r w:rsidRPr="000341F8">
        <w:rPr>
          <w:rFonts w:ascii="Univers" w:eastAsia="Open Sans" w:hAnsi="Univers" w:cs="Open Sans"/>
          <w:b/>
          <w:bCs/>
          <w:sz w:val="24"/>
          <w:szCs w:val="24"/>
        </w:rPr>
        <w:t>3. Assessment Prior to Approval</w:t>
      </w:r>
    </w:p>
    <w:p w14:paraId="0000000C" w14:textId="77777777" w:rsidR="000A66F7" w:rsidRPr="000341F8" w:rsidRDefault="000A66F7">
      <w:pPr>
        <w:jc w:val="both"/>
        <w:rPr>
          <w:rFonts w:ascii="Univers" w:eastAsia="Open Sans" w:hAnsi="Univers" w:cs="Open Sans"/>
          <w:sz w:val="20"/>
          <w:szCs w:val="20"/>
        </w:rPr>
      </w:pPr>
    </w:p>
    <w:p w14:paraId="0000000D" w14:textId="77777777" w:rsidR="000A66F7" w:rsidRPr="000341F8" w:rsidRDefault="00000000">
      <w:pPr>
        <w:jc w:val="both"/>
        <w:rPr>
          <w:rFonts w:ascii="Univers" w:eastAsia="Open Sans" w:hAnsi="Univers" w:cs="Open Sans"/>
          <w:sz w:val="20"/>
          <w:szCs w:val="20"/>
        </w:rPr>
      </w:pPr>
      <w:r w:rsidRPr="000341F8">
        <w:rPr>
          <w:rFonts w:ascii="Univers" w:eastAsia="Open Sans" w:hAnsi="Univers" w:cs="Open Sans"/>
          <w:sz w:val="20"/>
          <w:szCs w:val="20"/>
        </w:rPr>
        <w:t>Before a program is approved, it is assessed for alignment with institutional principles, feasibility within available resources, and consistency with the Chamber's neutrality — confirming that no program design confers disproportionate benefit on a particular member, sector or jurisdiction. This assessment mirrors the broader Neutrality Review and Operational Feasibility Review applied under the Chamber's decision-making procedures.</w:t>
      </w:r>
    </w:p>
    <w:p w14:paraId="0000000E" w14:textId="77777777" w:rsidR="000A66F7" w:rsidRPr="000341F8" w:rsidRDefault="000A66F7">
      <w:pPr>
        <w:jc w:val="both"/>
        <w:rPr>
          <w:rFonts w:ascii="Univers" w:eastAsia="Open Sans" w:hAnsi="Univers" w:cs="Open Sans"/>
          <w:b/>
          <w:bCs/>
          <w:sz w:val="20"/>
          <w:szCs w:val="20"/>
        </w:rPr>
      </w:pPr>
    </w:p>
    <w:p w14:paraId="0000000F" w14:textId="77777777" w:rsidR="000A66F7" w:rsidRPr="000341F8" w:rsidRDefault="00000000">
      <w:pPr>
        <w:jc w:val="both"/>
        <w:rPr>
          <w:rFonts w:ascii="Univers" w:eastAsia="Open Sans" w:hAnsi="Univers" w:cs="Open Sans"/>
          <w:b/>
          <w:bCs/>
          <w:sz w:val="20"/>
          <w:szCs w:val="20"/>
        </w:rPr>
      </w:pPr>
      <w:r w:rsidRPr="000341F8">
        <w:rPr>
          <w:rFonts w:ascii="Univers" w:eastAsia="Open Sans" w:hAnsi="Univers" w:cs="Open Sans"/>
          <w:b/>
          <w:bCs/>
          <w:sz w:val="24"/>
          <w:szCs w:val="24"/>
        </w:rPr>
        <w:t>4. Approval Pathwa</w:t>
      </w:r>
      <w:r w:rsidRPr="000341F8">
        <w:rPr>
          <w:rFonts w:ascii="Univers" w:eastAsia="Open Sans" w:hAnsi="Univers" w:cs="Open Sans"/>
          <w:b/>
          <w:bCs/>
          <w:sz w:val="20"/>
          <w:szCs w:val="20"/>
        </w:rPr>
        <w:t>y</w:t>
      </w:r>
    </w:p>
    <w:p w14:paraId="00000010" w14:textId="77777777" w:rsidR="000A66F7" w:rsidRPr="000341F8" w:rsidRDefault="000A66F7">
      <w:pPr>
        <w:jc w:val="both"/>
        <w:rPr>
          <w:rFonts w:ascii="Univers" w:eastAsia="Open Sans" w:hAnsi="Univers" w:cs="Open Sans"/>
          <w:sz w:val="20"/>
          <w:szCs w:val="20"/>
        </w:rPr>
      </w:pPr>
    </w:p>
    <w:p w14:paraId="00000011" w14:textId="77777777" w:rsidR="000A66F7" w:rsidRPr="000341F8" w:rsidRDefault="00000000">
      <w:pPr>
        <w:jc w:val="both"/>
        <w:rPr>
          <w:rFonts w:ascii="Univers" w:eastAsia="Open Sans" w:hAnsi="Univers" w:cs="Open Sans"/>
          <w:sz w:val="20"/>
          <w:szCs w:val="20"/>
        </w:rPr>
      </w:pPr>
      <w:r w:rsidRPr="000341F8">
        <w:rPr>
          <w:rFonts w:ascii="Univers" w:eastAsia="Open Sans" w:hAnsi="Univers" w:cs="Open Sans"/>
          <w:sz w:val="20"/>
          <w:szCs w:val="20"/>
        </w:rPr>
        <w:t>Approval follows the tiered structure established under the Decision-Making Procedures &amp; Approval Pathways: programs with strategic significance or cross-border regulatory implications require Governing Council approval, while more contained initiatives may be approved at the Executive Leadership tier. Approval must be documented, specifying scope, resourcing and reporting obligations, before implementation begins.</w:t>
      </w:r>
    </w:p>
    <w:p w14:paraId="00000012" w14:textId="77777777" w:rsidR="000A66F7" w:rsidRPr="000341F8" w:rsidRDefault="000A66F7">
      <w:pPr>
        <w:jc w:val="both"/>
        <w:rPr>
          <w:rFonts w:ascii="Univers" w:eastAsia="Open Sans" w:hAnsi="Univers" w:cs="Open Sans"/>
          <w:b/>
          <w:bCs/>
          <w:sz w:val="20"/>
          <w:szCs w:val="20"/>
        </w:rPr>
      </w:pPr>
    </w:p>
    <w:p w14:paraId="00000013" w14:textId="77777777" w:rsidR="000A66F7" w:rsidRPr="000341F8" w:rsidRDefault="00000000">
      <w:pPr>
        <w:jc w:val="both"/>
        <w:rPr>
          <w:rFonts w:ascii="Univers" w:eastAsia="Open Sans" w:hAnsi="Univers" w:cs="Open Sans"/>
          <w:b/>
          <w:bCs/>
          <w:sz w:val="24"/>
          <w:szCs w:val="24"/>
        </w:rPr>
      </w:pPr>
      <w:r w:rsidRPr="000341F8">
        <w:rPr>
          <w:rFonts w:ascii="Univers" w:eastAsia="Open Sans" w:hAnsi="Univers" w:cs="Open Sans"/>
          <w:b/>
          <w:bCs/>
          <w:sz w:val="24"/>
          <w:szCs w:val="24"/>
        </w:rPr>
        <w:t>5. Institutional Significance</w:t>
      </w:r>
    </w:p>
    <w:p w14:paraId="00000014" w14:textId="77777777" w:rsidR="000A66F7" w:rsidRPr="000341F8" w:rsidRDefault="000A66F7">
      <w:pPr>
        <w:jc w:val="both"/>
        <w:rPr>
          <w:rFonts w:ascii="Univers" w:eastAsia="Open Sans" w:hAnsi="Univers" w:cs="Open Sans"/>
          <w:sz w:val="20"/>
          <w:szCs w:val="20"/>
        </w:rPr>
      </w:pPr>
    </w:p>
    <w:p w14:paraId="00000015" w14:textId="77777777" w:rsidR="000A66F7" w:rsidRPr="000341F8" w:rsidRDefault="00000000">
      <w:pPr>
        <w:jc w:val="both"/>
        <w:rPr>
          <w:rFonts w:ascii="Univers" w:eastAsia="Open Sans" w:hAnsi="Univers" w:cs="Open Sans"/>
          <w:sz w:val="20"/>
          <w:szCs w:val="20"/>
        </w:rPr>
      </w:pPr>
      <w:r w:rsidRPr="000341F8">
        <w:rPr>
          <w:rFonts w:ascii="Univers" w:eastAsia="Open Sans" w:hAnsi="Univers" w:cs="Open Sans"/>
          <w:sz w:val="20"/>
          <w:szCs w:val="20"/>
        </w:rPr>
        <w:t xml:space="preserve">Structured design and approval </w:t>
      </w:r>
      <w:proofErr w:type="gramStart"/>
      <w:r w:rsidRPr="000341F8">
        <w:rPr>
          <w:rFonts w:ascii="Univers" w:eastAsia="Open Sans" w:hAnsi="Univers" w:cs="Open Sans"/>
          <w:sz w:val="20"/>
          <w:szCs w:val="20"/>
        </w:rPr>
        <w:t>ensures</w:t>
      </w:r>
      <w:proofErr w:type="gramEnd"/>
      <w:r w:rsidRPr="000341F8">
        <w:rPr>
          <w:rFonts w:ascii="Univers" w:eastAsia="Open Sans" w:hAnsi="Univers" w:cs="Open Sans"/>
          <w:sz w:val="20"/>
          <w:szCs w:val="20"/>
        </w:rPr>
        <w:t xml:space="preserve"> that Chamber programs reflect deliberate institutional judgment rather than ad hoc activity, giving members confidence that participation in any Chamber-approved program carries the weight and discipline of the institution behind it.</w:t>
      </w:r>
    </w:p>
    <w:p w14:paraId="00000016" w14:textId="77777777" w:rsidR="000A66F7" w:rsidRPr="000341F8" w:rsidRDefault="000A66F7">
      <w:pPr>
        <w:jc w:val="both"/>
        <w:rPr>
          <w:rFonts w:ascii="Univers" w:eastAsia="Open Sans" w:hAnsi="Univers" w:cs="Open Sans"/>
          <w:sz w:val="20"/>
          <w:szCs w:val="20"/>
        </w:rPr>
      </w:pPr>
    </w:p>
    <w:sectPr w:rsidR="000A66F7" w:rsidRPr="000341F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F5C8655-9C39-47FC-B9FB-B8A4696272EC}"/>
    <w:embedItalic r:id="rId2" w:fontKey="{658224C6-BEFC-4F40-AB5A-E73268E5F951}"/>
  </w:font>
  <w:font w:name="Play">
    <w:charset w:val="00"/>
    <w:family w:val="auto"/>
    <w:pitch w:val="default"/>
    <w:embedRegular r:id="rId3" w:fontKey="{9874F3F3-0B45-41E5-B794-68FD259CF069}"/>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E67265E9-E0A8-4EB1-A122-5FF4425C8E12}"/>
    <w:embedBold r:id="rId5" w:fontKey="{61FDA120-BE33-4042-AADB-4D81F63FFB4C}"/>
  </w:font>
  <w:font w:name="Open Sans">
    <w:charset w:val="00"/>
    <w:family w:val="swiss"/>
    <w:pitch w:val="variable"/>
    <w:sig w:usb0="E00002EF" w:usb1="4000205B" w:usb2="00000028" w:usb3="00000000" w:csb0="0000019F" w:csb1="00000000"/>
    <w:embedRegular r:id="rId6" w:fontKey="{B6065FE6-3F1F-4B43-89E8-4039A189BC77}"/>
    <w:embedBold r:id="rId7" w:fontKey="{88450D73-E0E0-42A3-947A-052CEFD21EF1}"/>
  </w:font>
  <w:font w:name="Calibri">
    <w:panose1 w:val="020F0502020204030204"/>
    <w:charset w:val="00"/>
    <w:family w:val="swiss"/>
    <w:pitch w:val="variable"/>
    <w:sig w:usb0="E4002EFF" w:usb1="C200247B" w:usb2="00000009" w:usb3="00000000" w:csb0="000001FF" w:csb1="00000000"/>
    <w:embedRegular r:id="rId8" w:fontKey="{27BF5908-5F8A-4C0A-8806-CBD61F1F498C}"/>
  </w:font>
  <w:font w:name="Cambria">
    <w:panose1 w:val="02040503050406030204"/>
    <w:charset w:val="00"/>
    <w:family w:val="roman"/>
    <w:pitch w:val="variable"/>
    <w:sig w:usb0="E00006FF" w:usb1="420024FF" w:usb2="02000000" w:usb3="00000000" w:csb0="0000019F" w:csb1="00000000"/>
    <w:embedRegular r:id="rId9" w:fontKey="{FFFFC9C8-85C2-45EE-B2E9-E772D7ACCC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6F7"/>
    <w:rsid w:val="000341F8"/>
    <w:rsid w:val="000A66F7"/>
    <w:rsid w:val="003675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9D613B-7981-4CC6-A2FA-67314449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tRWow1m58QWHWftHo32zZzMGA==">CgMxLjA4AHIhMUl2TllCNnRPQ0gtcTNpN1pHOWd0bkJPU2pJNElJank3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330</Words>
  <Characters>1885</Characters>
  <Application>Microsoft Office Word</Application>
  <DocSecurity>0</DocSecurity>
  <Lines>15</Lines>
  <Paragraphs>4</Paragraphs>
  <ScaleCrop>false</ScaleCrop>
  <Company>Department of Education</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2026-07-23T09:20:00Z</dcterms:created>
  <dcterms:modified xsi:type="dcterms:W3CDTF">2026-07-23T09:21:00Z</dcterms:modified>
</cp:coreProperties>
</file>