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7FCF8" w14:textId="62E71357" w:rsidR="00A41A35" w:rsidRPr="00042A15" w:rsidRDefault="00B7115D" w:rsidP="00B7115D">
      <w:pPr>
        <w:jc w:val="center"/>
        <w:rPr>
          <w:rFonts w:ascii="Univers" w:hAnsi="Univers"/>
          <w:b/>
          <w:bCs/>
          <w:sz w:val="24"/>
          <w:szCs w:val="24"/>
        </w:rPr>
      </w:pPr>
      <w:r w:rsidRPr="00042A15">
        <w:rPr>
          <w:rFonts w:ascii="Univers" w:hAnsi="Univers"/>
          <w:b/>
          <w:bCs/>
          <w:sz w:val="24"/>
          <w:szCs w:val="24"/>
        </w:rPr>
        <w:t>SAFEGUARD AND INTEGRITY RULES</w:t>
      </w:r>
    </w:p>
    <w:p w14:paraId="0E51EC8E" w14:textId="77777777" w:rsidR="00B7115D" w:rsidRPr="00042A15" w:rsidRDefault="00B7115D">
      <w:pPr>
        <w:rPr>
          <w:rFonts w:ascii="Univers" w:hAnsi="Univers"/>
          <w:sz w:val="20"/>
          <w:szCs w:val="20"/>
        </w:rPr>
      </w:pPr>
    </w:p>
    <w:p w14:paraId="5256CE88" w14:textId="77777777" w:rsidR="00B7115D" w:rsidRPr="00042A15" w:rsidRDefault="00B7115D">
      <w:pPr>
        <w:rPr>
          <w:rFonts w:ascii="Univers" w:hAnsi="Univers"/>
          <w:sz w:val="20"/>
          <w:szCs w:val="20"/>
        </w:rPr>
      </w:pPr>
    </w:p>
    <w:p w14:paraId="3D1A0734" w14:textId="77777777" w:rsidR="00160F0B" w:rsidRPr="00042A15" w:rsidRDefault="00160F0B" w:rsidP="00160F0B">
      <w:pPr>
        <w:rPr>
          <w:rFonts w:ascii="Univers" w:hAnsi="Univers"/>
          <w:sz w:val="20"/>
          <w:szCs w:val="20"/>
        </w:rPr>
      </w:pPr>
      <w:r w:rsidRPr="00042A15">
        <w:rPr>
          <w:rFonts w:ascii="Univers" w:hAnsi="Univers"/>
          <w:sz w:val="20"/>
          <w:szCs w:val="20"/>
        </w:rPr>
        <w:t>The Safeguard and Integrity Rules establish the protections that preserve the World Economic Chamber’s independence, neutrality and institutional credibility. They define the measures that prevent undue influence, ensure disciplined decision</w:t>
      </w:r>
      <w:r w:rsidRPr="00042A15">
        <w:rPr>
          <w:rFonts w:ascii="Cambria Math" w:hAnsi="Cambria Math" w:cs="Cambria Math"/>
          <w:sz w:val="20"/>
          <w:szCs w:val="20"/>
        </w:rPr>
        <w:t>‑</w:t>
      </w:r>
      <w:r w:rsidRPr="00042A15">
        <w:rPr>
          <w:rFonts w:ascii="Univers" w:hAnsi="Univers"/>
          <w:sz w:val="20"/>
          <w:szCs w:val="20"/>
        </w:rPr>
        <w:t>making and maintain the standards expected of an organisation operating across jurisdictions. These rules provide the structural safeguards that keep the Chamber’s work free from commercial, political or sector</w:t>
      </w:r>
      <w:r w:rsidRPr="00042A15">
        <w:rPr>
          <w:rFonts w:ascii="Cambria Math" w:hAnsi="Cambria Math" w:cs="Cambria Math"/>
          <w:sz w:val="20"/>
          <w:szCs w:val="20"/>
        </w:rPr>
        <w:t>‑</w:t>
      </w:r>
      <w:r w:rsidRPr="00042A15">
        <w:rPr>
          <w:rFonts w:ascii="Univers" w:hAnsi="Univers"/>
          <w:sz w:val="20"/>
          <w:szCs w:val="20"/>
        </w:rPr>
        <w:t>specific pressure, reinforcing its role as a stable and principled counterpart for organisations engaged in international economic activity.</w:t>
      </w:r>
    </w:p>
    <w:p w14:paraId="2A932A30" w14:textId="77777777" w:rsidR="00160F0B" w:rsidRPr="00042A15" w:rsidRDefault="00160F0B" w:rsidP="00160F0B">
      <w:pPr>
        <w:rPr>
          <w:rFonts w:ascii="Univers" w:hAnsi="Univers"/>
          <w:sz w:val="20"/>
          <w:szCs w:val="20"/>
        </w:rPr>
      </w:pPr>
    </w:p>
    <w:p w14:paraId="4D3C3061" w14:textId="6AC6342C" w:rsidR="00160F0B" w:rsidRPr="00042A15" w:rsidRDefault="00160F0B" w:rsidP="00160F0B">
      <w:pPr>
        <w:rPr>
          <w:rFonts w:ascii="Univers" w:hAnsi="Univers"/>
          <w:sz w:val="20"/>
          <w:szCs w:val="20"/>
        </w:rPr>
      </w:pPr>
      <w:r w:rsidRPr="00042A15">
        <w:rPr>
          <w:rFonts w:ascii="Univers" w:hAnsi="Univers"/>
          <w:sz w:val="20"/>
          <w:szCs w:val="20"/>
        </w:rPr>
        <w:t>They also set out the expectations for responsible conduct within the Chamber’s governance processes. By outlining how conflicts of interest are managed, how institutional decisions are documented and how external engagement is monitored, the Safeguard and Integrity Rules ensure that the Chamber’s operations remain transparent, consistent and aligned with its founding principles. Together, they form the integrity backbone of the organisation, protecting the trust placed in the Chamber by its members and partners.</w:t>
      </w:r>
    </w:p>
    <w:p w14:paraId="6940EE1B" w14:textId="77777777" w:rsidR="00160F0B" w:rsidRPr="00042A15" w:rsidRDefault="00160F0B">
      <w:pPr>
        <w:rPr>
          <w:rFonts w:ascii="Univers" w:hAnsi="Univers"/>
          <w:sz w:val="20"/>
          <w:szCs w:val="20"/>
        </w:rPr>
      </w:pPr>
    </w:p>
    <w:p w14:paraId="63299CFC" w14:textId="77777777" w:rsidR="00B7115D" w:rsidRPr="00042A15" w:rsidRDefault="00B7115D" w:rsidP="00B7115D">
      <w:pPr>
        <w:rPr>
          <w:rFonts w:ascii="Univers" w:hAnsi="Univers"/>
          <w:b/>
          <w:bCs/>
          <w:sz w:val="24"/>
          <w:szCs w:val="24"/>
        </w:rPr>
      </w:pPr>
      <w:r w:rsidRPr="00042A15">
        <w:rPr>
          <w:rFonts w:ascii="Univers" w:hAnsi="Univers"/>
          <w:b/>
          <w:bCs/>
          <w:sz w:val="24"/>
          <w:szCs w:val="24"/>
        </w:rPr>
        <w:t>Independence Safeguards &amp; Influence</w:t>
      </w:r>
      <w:r w:rsidRPr="00042A15">
        <w:rPr>
          <w:rFonts w:ascii="Cambria Math" w:hAnsi="Cambria Math" w:cs="Cambria Math"/>
          <w:b/>
          <w:bCs/>
          <w:sz w:val="24"/>
          <w:szCs w:val="24"/>
        </w:rPr>
        <w:t>‑</w:t>
      </w:r>
      <w:r w:rsidRPr="00042A15">
        <w:rPr>
          <w:rFonts w:ascii="Univers" w:hAnsi="Univers"/>
          <w:b/>
          <w:bCs/>
          <w:sz w:val="24"/>
          <w:szCs w:val="24"/>
        </w:rPr>
        <w:t xml:space="preserve">Protection Policy  </w:t>
      </w:r>
    </w:p>
    <w:p w14:paraId="3A6B46AA" w14:textId="77777777" w:rsidR="00B7115D" w:rsidRPr="00042A15" w:rsidRDefault="00B7115D" w:rsidP="00B7115D">
      <w:pPr>
        <w:rPr>
          <w:rFonts w:ascii="Univers" w:hAnsi="Univers"/>
          <w:sz w:val="20"/>
          <w:szCs w:val="20"/>
        </w:rPr>
      </w:pPr>
    </w:p>
    <w:p w14:paraId="10E06325" w14:textId="2144E156" w:rsidR="005555BD" w:rsidRPr="00042A15" w:rsidRDefault="005555BD" w:rsidP="00B7115D">
      <w:pPr>
        <w:rPr>
          <w:rFonts w:ascii="Univers" w:hAnsi="Univers"/>
          <w:sz w:val="20"/>
          <w:szCs w:val="20"/>
        </w:rPr>
      </w:pPr>
      <w:r w:rsidRPr="00042A15">
        <w:rPr>
          <w:rFonts w:ascii="Univers" w:hAnsi="Univers"/>
          <w:sz w:val="20"/>
          <w:szCs w:val="20"/>
        </w:rPr>
        <w:t>The Independence Safeguards &amp; Influence</w:t>
      </w:r>
      <w:r w:rsidRPr="00042A15">
        <w:rPr>
          <w:rFonts w:ascii="Cambria Math" w:hAnsi="Cambria Math" w:cs="Cambria Math"/>
          <w:sz w:val="20"/>
          <w:szCs w:val="20"/>
        </w:rPr>
        <w:t>‑</w:t>
      </w:r>
      <w:r w:rsidRPr="00042A15">
        <w:rPr>
          <w:rFonts w:ascii="Univers" w:hAnsi="Univers"/>
          <w:sz w:val="20"/>
          <w:szCs w:val="20"/>
        </w:rPr>
        <w:t>Protection Policy outlines the measures that keep the World Economic Chamber free from commercial, political or sector</w:t>
      </w:r>
      <w:r w:rsidRPr="00042A15">
        <w:rPr>
          <w:rFonts w:ascii="Cambria Math" w:hAnsi="Cambria Math" w:cs="Cambria Math"/>
          <w:sz w:val="20"/>
          <w:szCs w:val="20"/>
        </w:rPr>
        <w:t>‑</w:t>
      </w:r>
      <w:r w:rsidRPr="00042A15">
        <w:rPr>
          <w:rFonts w:ascii="Univers" w:hAnsi="Univers"/>
          <w:sz w:val="20"/>
          <w:szCs w:val="20"/>
        </w:rPr>
        <w:t>specific pressure. It ensures that decisions and engagements remain neutral and professionally disciplined, protecting the Chamber’s credibility across jurisdictions. By setting clear boundaries and oversight mechanisms, the policy reinforces the organisation’s commitment to operating as an independent and principled institution in all cross</w:t>
      </w:r>
      <w:r w:rsidRPr="00042A15">
        <w:rPr>
          <w:rFonts w:ascii="Cambria Math" w:hAnsi="Cambria Math" w:cs="Cambria Math"/>
          <w:sz w:val="20"/>
          <w:szCs w:val="20"/>
        </w:rPr>
        <w:t>‑</w:t>
      </w:r>
      <w:r w:rsidRPr="00042A15">
        <w:rPr>
          <w:rFonts w:ascii="Univers" w:hAnsi="Univers"/>
          <w:sz w:val="20"/>
          <w:szCs w:val="20"/>
        </w:rPr>
        <w:t>border economic matters.</w:t>
      </w:r>
    </w:p>
    <w:p w14:paraId="6F1229F8" w14:textId="77777777" w:rsidR="005555BD" w:rsidRPr="00042A15" w:rsidRDefault="005555BD" w:rsidP="00B7115D">
      <w:pPr>
        <w:rPr>
          <w:rFonts w:ascii="Univers" w:hAnsi="Univers"/>
          <w:sz w:val="20"/>
          <w:szCs w:val="20"/>
        </w:rPr>
      </w:pPr>
    </w:p>
    <w:p w14:paraId="79930587" w14:textId="1DD7D616" w:rsidR="00160F0B" w:rsidRPr="00042A15" w:rsidRDefault="00160F0B" w:rsidP="00160F0B">
      <w:pPr>
        <w:pStyle w:val="ListParagraph"/>
        <w:numPr>
          <w:ilvl w:val="0"/>
          <w:numId w:val="1"/>
        </w:numPr>
        <w:tabs>
          <w:tab w:val="left" w:pos="426"/>
        </w:tabs>
        <w:ind w:hanging="720"/>
        <w:rPr>
          <w:rFonts w:ascii="Univers" w:hAnsi="Univers"/>
          <w:sz w:val="20"/>
          <w:szCs w:val="20"/>
        </w:rPr>
      </w:pPr>
      <w:r w:rsidRPr="00042A15">
        <w:rPr>
          <w:rFonts w:ascii="Univers" w:hAnsi="Univers"/>
          <w:sz w:val="20"/>
          <w:szCs w:val="20"/>
        </w:rPr>
        <w:t>Independence Safeguards &amp; Influence</w:t>
      </w:r>
      <w:r w:rsidRPr="00042A15">
        <w:rPr>
          <w:rFonts w:ascii="Cambria Math" w:hAnsi="Cambria Math" w:cs="Cambria Math"/>
          <w:sz w:val="20"/>
          <w:szCs w:val="20"/>
        </w:rPr>
        <w:t>‑</w:t>
      </w:r>
      <w:r w:rsidRPr="00042A15">
        <w:rPr>
          <w:rFonts w:ascii="Univers" w:hAnsi="Univers"/>
          <w:sz w:val="20"/>
          <w:szCs w:val="20"/>
        </w:rPr>
        <w:t xml:space="preserve">Protection Policy  </w:t>
      </w:r>
    </w:p>
    <w:p w14:paraId="732A3DAC" w14:textId="77777777" w:rsidR="00B7115D" w:rsidRPr="00042A15" w:rsidRDefault="00B7115D" w:rsidP="00B7115D">
      <w:pPr>
        <w:rPr>
          <w:rFonts w:ascii="Univers" w:hAnsi="Univers"/>
          <w:sz w:val="20"/>
          <w:szCs w:val="20"/>
        </w:rPr>
      </w:pPr>
    </w:p>
    <w:p w14:paraId="4E784AE2" w14:textId="4082C0C6" w:rsidR="00B7115D" w:rsidRPr="00042A15" w:rsidRDefault="00B7115D" w:rsidP="00B7115D">
      <w:pPr>
        <w:rPr>
          <w:rFonts w:ascii="Univers" w:hAnsi="Univers"/>
          <w:b/>
          <w:bCs/>
          <w:sz w:val="24"/>
          <w:szCs w:val="24"/>
        </w:rPr>
      </w:pPr>
      <w:r w:rsidRPr="00042A15">
        <w:rPr>
          <w:rFonts w:ascii="Univers" w:hAnsi="Univers"/>
          <w:b/>
          <w:bCs/>
          <w:sz w:val="24"/>
          <w:szCs w:val="24"/>
        </w:rPr>
        <w:t xml:space="preserve">Transparency &amp; Disclosure Expectations  </w:t>
      </w:r>
    </w:p>
    <w:p w14:paraId="58CE1982" w14:textId="7FD83A9F" w:rsidR="00B7115D" w:rsidRPr="00042A15" w:rsidRDefault="00B7115D" w:rsidP="00B7115D">
      <w:pPr>
        <w:rPr>
          <w:rFonts w:ascii="Univers" w:hAnsi="Univers"/>
          <w:sz w:val="20"/>
          <w:szCs w:val="20"/>
        </w:rPr>
      </w:pPr>
    </w:p>
    <w:p w14:paraId="39453D6D" w14:textId="1C31F9A0" w:rsidR="00B114E9" w:rsidRPr="00042A15" w:rsidRDefault="00B114E9" w:rsidP="00B7115D">
      <w:pPr>
        <w:rPr>
          <w:rFonts w:ascii="Univers" w:hAnsi="Univers"/>
          <w:sz w:val="20"/>
          <w:szCs w:val="20"/>
        </w:rPr>
      </w:pPr>
      <w:r w:rsidRPr="00042A15">
        <w:rPr>
          <w:rFonts w:ascii="Univers" w:hAnsi="Univers"/>
          <w:sz w:val="20"/>
          <w:szCs w:val="20"/>
        </w:rPr>
        <w:t>The Transparency &amp; Disclosure Expectations set the standards for how the World Economic Chamber communicates its institutional decisions, program activities and governance actions. They ensure that information is shared accurately, consistently and in a manner that reflects the Chamber’s commitment to professionalism, neutrality and responsible cross</w:t>
      </w:r>
      <w:r w:rsidRPr="00042A15">
        <w:rPr>
          <w:rFonts w:ascii="Cambria Math" w:hAnsi="Cambria Math" w:cs="Cambria Math"/>
          <w:sz w:val="20"/>
          <w:szCs w:val="20"/>
        </w:rPr>
        <w:t>‑</w:t>
      </w:r>
      <w:r w:rsidRPr="00042A15">
        <w:rPr>
          <w:rFonts w:ascii="Univers" w:hAnsi="Univers"/>
          <w:sz w:val="20"/>
          <w:szCs w:val="20"/>
        </w:rPr>
        <w:t>border engagement. These expectations provide a disciplined framework for disclosure, helping maintain institutional trust, reinforce accountability and support clear communication with members, partners and public institutions.</w:t>
      </w:r>
    </w:p>
    <w:p w14:paraId="4759A90D" w14:textId="77777777" w:rsidR="00B114E9" w:rsidRPr="00042A15" w:rsidRDefault="00B114E9" w:rsidP="00B114E9">
      <w:pPr>
        <w:rPr>
          <w:rFonts w:ascii="Univers" w:hAnsi="Univers"/>
          <w:sz w:val="20"/>
          <w:szCs w:val="20"/>
        </w:rPr>
      </w:pPr>
    </w:p>
    <w:p w14:paraId="38B6B0DB" w14:textId="04A8D7FD" w:rsidR="00B114E9" w:rsidRPr="00042A15" w:rsidRDefault="00B114E9" w:rsidP="00B114E9">
      <w:pPr>
        <w:pStyle w:val="ListParagraph"/>
        <w:numPr>
          <w:ilvl w:val="0"/>
          <w:numId w:val="1"/>
        </w:numPr>
        <w:tabs>
          <w:tab w:val="left" w:pos="426"/>
        </w:tabs>
        <w:ind w:hanging="720"/>
        <w:rPr>
          <w:rFonts w:ascii="Univers" w:hAnsi="Univers"/>
          <w:sz w:val="20"/>
          <w:szCs w:val="20"/>
        </w:rPr>
      </w:pPr>
      <w:r w:rsidRPr="00042A15">
        <w:rPr>
          <w:rFonts w:ascii="Univers" w:hAnsi="Univers"/>
          <w:sz w:val="20"/>
          <w:szCs w:val="20"/>
        </w:rPr>
        <w:t xml:space="preserve">Transparency &amp; Disclosure Expectations  </w:t>
      </w:r>
    </w:p>
    <w:p w14:paraId="4BBB7F76" w14:textId="77777777" w:rsidR="00B7115D" w:rsidRPr="00042A15" w:rsidRDefault="00B7115D" w:rsidP="00B7115D">
      <w:pPr>
        <w:rPr>
          <w:rFonts w:ascii="Univers" w:hAnsi="Univers"/>
          <w:sz w:val="20"/>
          <w:szCs w:val="20"/>
        </w:rPr>
      </w:pPr>
    </w:p>
    <w:p w14:paraId="3A8693BF" w14:textId="75B56A4A" w:rsidR="00B7115D" w:rsidRPr="00042A15" w:rsidRDefault="00B7115D" w:rsidP="00B7115D">
      <w:pPr>
        <w:rPr>
          <w:rFonts w:ascii="Univers" w:hAnsi="Univers"/>
          <w:b/>
          <w:bCs/>
          <w:sz w:val="24"/>
          <w:szCs w:val="24"/>
        </w:rPr>
      </w:pPr>
      <w:r w:rsidRPr="00042A15">
        <w:rPr>
          <w:rFonts w:ascii="Univers" w:hAnsi="Univers"/>
          <w:b/>
          <w:bCs/>
          <w:sz w:val="24"/>
          <w:szCs w:val="24"/>
        </w:rPr>
        <w:t>Institutional Risk Management Guidelines</w:t>
      </w:r>
    </w:p>
    <w:p w14:paraId="53E06748" w14:textId="77777777" w:rsidR="00B7115D" w:rsidRPr="00042A15" w:rsidRDefault="00B7115D">
      <w:pPr>
        <w:rPr>
          <w:rFonts w:ascii="Univers" w:hAnsi="Univers"/>
          <w:sz w:val="20"/>
          <w:szCs w:val="20"/>
        </w:rPr>
      </w:pPr>
    </w:p>
    <w:p w14:paraId="1A1B3AAA" w14:textId="6AC070F5" w:rsidR="00943DCC" w:rsidRPr="00042A15" w:rsidRDefault="00943DCC">
      <w:pPr>
        <w:rPr>
          <w:rFonts w:ascii="Univers" w:hAnsi="Univers"/>
          <w:sz w:val="20"/>
          <w:szCs w:val="20"/>
        </w:rPr>
      </w:pPr>
      <w:r w:rsidRPr="00042A15">
        <w:rPr>
          <w:rFonts w:ascii="Univers" w:hAnsi="Univers"/>
          <w:sz w:val="20"/>
          <w:szCs w:val="20"/>
        </w:rPr>
        <w:t>The Institutional Risk Management Guidelines outline how the World Economic Chamber identifies, assesses and manages risks across its governance, operational and cross</w:t>
      </w:r>
      <w:r w:rsidRPr="00042A15">
        <w:rPr>
          <w:rFonts w:ascii="Cambria Math" w:hAnsi="Cambria Math" w:cs="Cambria Math"/>
          <w:sz w:val="20"/>
          <w:szCs w:val="20"/>
        </w:rPr>
        <w:t>‑</w:t>
      </w:r>
      <w:r w:rsidRPr="00042A15">
        <w:rPr>
          <w:rFonts w:ascii="Univers" w:hAnsi="Univers"/>
          <w:sz w:val="20"/>
          <w:szCs w:val="20"/>
        </w:rPr>
        <w:t>border activities. They ensure that the organisation maintains disciplined oversight, protects its independence and operates with the level of prudence expected of an institution engaged in international economic matters. By establishing clear processes for monitoring, escalation and mitigation, the guidelines help the Chamber maintain stability, safeguard institutional credibility and support responsible engagement with members and public institutions.</w:t>
      </w:r>
    </w:p>
    <w:p w14:paraId="5A07B04E" w14:textId="77777777" w:rsidR="00943DCC" w:rsidRPr="00042A15" w:rsidRDefault="00943DCC" w:rsidP="00943DCC">
      <w:pPr>
        <w:rPr>
          <w:rFonts w:ascii="Univers" w:hAnsi="Univers"/>
          <w:sz w:val="20"/>
          <w:szCs w:val="20"/>
        </w:rPr>
      </w:pPr>
    </w:p>
    <w:p w14:paraId="5E3AF32F" w14:textId="0C871271" w:rsidR="00943DCC" w:rsidRPr="00042A15" w:rsidRDefault="00943DCC" w:rsidP="00943DCC">
      <w:pPr>
        <w:pStyle w:val="ListParagraph"/>
        <w:numPr>
          <w:ilvl w:val="0"/>
          <w:numId w:val="1"/>
        </w:numPr>
        <w:tabs>
          <w:tab w:val="left" w:pos="426"/>
        </w:tabs>
        <w:ind w:hanging="720"/>
        <w:rPr>
          <w:rFonts w:ascii="Univers" w:hAnsi="Univers"/>
          <w:sz w:val="20"/>
          <w:szCs w:val="20"/>
        </w:rPr>
      </w:pPr>
      <w:r w:rsidRPr="00042A15">
        <w:rPr>
          <w:rFonts w:ascii="Univers" w:hAnsi="Univers"/>
          <w:sz w:val="20"/>
          <w:szCs w:val="20"/>
        </w:rPr>
        <w:t>Institutional Risk Management Guidelines</w:t>
      </w:r>
    </w:p>
    <w:p w14:paraId="1690446B" w14:textId="77777777" w:rsidR="00943DCC" w:rsidRPr="00042A15" w:rsidRDefault="00943DCC" w:rsidP="00943DCC">
      <w:pPr>
        <w:rPr>
          <w:rFonts w:ascii="Univers" w:hAnsi="Univers"/>
          <w:sz w:val="20"/>
          <w:szCs w:val="20"/>
        </w:rPr>
      </w:pPr>
    </w:p>
    <w:p w14:paraId="39BEB744" w14:textId="77777777" w:rsidR="00943DCC" w:rsidRPr="00042A15" w:rsidRDefault="00943DCC">
      <w:pPr>
        <w:rPr>
          <w:rFonts w:ascii="Univers" w:hAnsi="Univers"/>
          <w:sz w:val="20"/>
          <w:szCs w:val="20"/>
        </w:rPr>
      </w:pPr>
    </w:p>
    <w:p w14:paraId="0B872F27" w14:textId="77777777" w:rsidR="00943DCC" w:rsidRPr="00042A15" w:rsidRDefault="00943DCC">
      <w:pPr>
        <w:rPr>
          <w:rFonts w:ascii="Univers" w:hAnsi="Univers"/>
          <w:sz w:val="20"/>
          <w:szCs w:val="20"/>
        </w:rPr>
      </w:pPr>
    </w:p>
    <w:p w14:paraId="048F330C" w14:textId="77777777" w:rsidR="00943DCC" w:rsidRPr="00042A15" w:rsidRDefault="00943DCC">
      <w:pPr>
        <w:rPr>
          <w:rFonts w:ascii="Univers" w:hAnsi="Univers"/>
          <w:sz w:val="20"/>
          <w:szCs w:val="20"/>
        </w:rPr>
      </w:pPr>
    </w:p>
    <w:p w14:paraId="1F80666A" w14:textId="77777777" w:rsidR="00B7115D" w:rsidRPr="00042A15" w:rsidRDefault="00B7115D">
      <w:pPr>
        <w:rPr>
          <w:rFonts w:ascii="Univers" w:hAnsi="Univers"/>
          <w:sz w:val="20"/>
          <w:szCs w:val="20"/>
        </w:rPr>
      </w:pPr>
    </w:p>
    <w:sectPr w:rsidR="00B7115D" w:rsidRPr="00042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80776"/>
    <w:multiLevelType w:val="hybridMultilevel"/>
    <w:tmpl w:val="BF209E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818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5D"/>
    <w:rsid w:val="00042A15"/>
    <w:rsid w:val="00160F0B"/>
    <w:rsid w:val="002224FB"/>
    <w:rsid w:val="002E4FC1"/>
    <w:rsid w:val="004354FE"/>
    <w:rsid w:val="005258F9"/>
    <w:rsid w:val="005555BD"/>
    <w:rsid w:val="00627EF6"/>
    <w:rsid w:val="00765425"/>
    <w:rsid w:val="007C269C"/>
    <w:rsid w:val="0086417D"/>
    <w:rsid w:val="008C2806"/>
    <w:rsid w:val="0090131E"/>
    <w:rsid w:val="00943DCC"/>
    <w:rsid w:val="00A41A35"/>
    <w:rsid w:val="00A67237"/>
    <w:rsid w:val="00B114E9"/>
    <w:rsid w:val="00B365CE"/>
    <w:rsid w:val="00B7115D"/>
    <w:rsid w:val="00BC4381"/>
    <w:rsid w:val="00C3515B"/>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12A6C"/>
  <w15:chartTrackingRefBased/>
  <w15:docId w15:val="{89F70D7D-54ED-4875-A147-4F9F617FA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1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1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1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1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15D"/>
    <w:rPr>
      <w:rFonts w:eastAsiaTheme="majorEastAsia" w:cstheme="majorBidi"/>
      <w:color w:val="272727" w:themeColor="text1" w:themeTint="D8"/>
    </w:rPr>
  </w:style>
  <w:style w:type="paragraph" w:styleId="Title">
    <w:name w:val="Title"/>
    <w:basedOn w:val="Normal"/>
    <w:next w:val="Normal"/>
    <w:link w:val="TitleChar"/>
    <w:uiPriority w:val="10"/>
    <w:qFormat/>
    <w:rsid w:val="00B711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1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1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115D"/>
    <w:rPr>
      <w:i/>
      <w:iCs/>
      <w:color w:val="404040" w:themeColor="text1" w:themeTint="BF"/>
    </w:rPr>
  </w:style>
  <w:style w:type="paragraph" w:styleId="ListParagraph">
    <w:name w:val="List Paragraph"/>
    <w:basedOn w:val="Normal"/>
    <w:uiPriority w:val="34"/>
    <w:qFormat/>
    <w:rsid w:val="00B7115D"/>
    <w:pPr>
      <w:ind w:left="720"/>
      <w:contextualSpacing/>
    </w:pPr>
  </w:style>
  <w:style w:type="character" w:styleId="IntenseEmphasis">
    <w:name w:val="Intense Emphasis"/>
    <w:basedOn w:val="DefaultParagraphFont"/>
    <w:uiPriority w:val="21"/>
    <w:qFormat/>
    <w:rsid w:val="00B7115D"/>
    <w:rPr>
      <w:i/>
      <w:iCs/>
      <w:color w:val="0F4761" w:themeColor="accent1" w:themeShade="BF"/>
    </w:rPr>
  </w:style>
  <w:style w:type="paragraph" w:styleId="IntenseQuote">
    <w:name w:val="Intense Quote"/>
    <w:basedOn w:val="Normal"/>
    <w:next w:val="Normal"/>
    <w:link w:val="IntenseQuoteChar"/>
    <w:uiPriority w:val="30"/>
    <w:qFormat/>
    <w:rsid w:val="00B71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15D"/>
    <w:rPr>
      <w:i/>
      <w:iCs/>
      <w:color w:val="0F4761" w:themeColor="accent1" w:themeShade="BF"/>
    </w:rPr>
  </w:style>
  <w:style w:type="character" w:styleId="IntenseReference">
    <w:name w:val="Intense Reference"/>
    <w:basedOn w:val="DefaultParagraphFont"/>
    <w:uiPriority w:val="32"/>
    <w:qFormat/>
    <w:rsid w:val="00B711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2026-07-19T11:14:00Z</dcterms:created>
  <dcterms:modified xsi:type="dcterms:W3CDTF">2026-07-19T14:01:00Z</dcterms:modified>
</cp:coreProperties>
</file>