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8390D" w:rsidRPr="000E5FAC" w:rsidRDefault="00000000">
      <w:pPr>
        <w:jc w:val="center"/>
        <w:rPr>
          <w:rFonts w:ascii="Univers" w:eastAsia="Open Sans" w:hAnsi="Univers" w:cs="Open Sans"/>
          <w:b/>
          <w:bCs/>
          <w:sz w:val="24"/>
          <w:szCs w:val="24"/>
        </w:rPr>
      </w:pPr>
      <w:r w:rsidRPr="000E5FAC">
        <w:rPr>
          <w:rFonts w:ascii="Univers" w:eastAsia="Open Sans" w:hAnsi="Univers" w:cs="Open Sans"/>
          <w:b/>
          <w:bCs/>
          <w:sz w:val="24"/>
          <w:szCs w:val="24"/>
        </w:rPr>
        <w:t>INDEPENDENCE SAFEGUARDS &amp; INFLUENCE-PROTECTION POLICY</w:t>
      </w:r>
    </w:p>
    <w:p w14:paraId="00000002" w14:textId="77777777" w:rsidR="0068390D" w:rsidRPr="000E5FAC" w:rsidRDefault="0068390D">
      <w:pPr>
        <w:rPr>
          <w:rFonts w:ascii="Univers" w:eastAsia="Open Sans" w:hAnsi="Univers" w:cs="Open Sans"/>
          <w:sz w:val="20"/>
          <w:szCs w:val="20"/>
        </w:rPr>
      </w:pPr>
    </w:p>
    <w:p w14:paraId="00000003" w14:textId="77777777" w:rsidR="0068390D" w:rsidRPr="000E5FAC" w:rsidRDefault="00000000">
      <w:pPr>
        <w:jc w:val="both"/>
        <w:rPr>
          <w:rFonts w:ascii="Univers" w:eastAsia="Open Sans" w:hAnsi="Univers" w:cs="Open Sans"/>
          <w:b/>
          <w:bCs/>
          <w:sz w:val="24"/>
          <w:szCs w:val="24"/>
        </w:rPr>
      </w:pPr>
      <w:r w:rsidRPr="000E5FAC">
        <w:rPr>
          <w:rFonts w:ascii="Univers" w:eastAsia="Open Sans" w:hAnsi="Univers" w:cs="Open Sans"/>
          <w:b/>
          <w:bCs/>
          <w:sz w:val="24"/>
          <w:szCs w:val="24"/>
        </w:rPr>
        <w:t>1. Purpose and Scope</w:t>
      </w:r>
    </w:p>
    <w:p w14:paraId="00000004" w14:textId="77777777" w:rsidR="0068390D" w:rsidRPr="000E5FAC" w:rsidRDefault="0068390D">
      <w:pPr>
        <w:jc w:val="both"/>
        <w:rPr>
          <w:rFonts w:ascii="Univers" w:eastAsia="Open Sans" w:hAnsi="Univers" w:cs="Open Sans"/>
          <w:sz w:val="20"/>
          <w:szCs w:val="20"/>
        </w:rPr>
      </w:pPr>
    </w:p>
    <w:p w14:paraId="00000005" w14:textId="77777777" w:rsidR="0068390D" w:rsidRPr="000E5FAC" w:rsidRDefault="00000000">
      <w:pPr>
        <w:jc w:val="both"/>
        <w:rPr>
          <w:rFonts w:ascii="Univers" w:eastAsia="Open Sans" w:hAnsi="Univers" w:cs="Open Sans"/>
          <w:sz w:val="20"/>
          <w:szCs w:val="20"/>
        </w:rPr>
      </w:pPr>
      <w:r w:rsidRPr="000E5FAC">
        <w:rPr>
          <w:rFonts w:ascii="Univers" w:eastAsia="Open Sans" w:hAnsi="Univers" w:cs="Open Sans"/>
          <w:sz w:val="20"/>
          <w:szCs w:val="20"/>
        </w:rPr>
        <w:t>The Independence Safeguards &amp; Influence-Protection Policy sets out the structural measures through which the World Economic Chamber protects its decision-making from commercial, political or sector-specific pressure. Where the Institutional Independence &amp; Neutrality Policy establishes the principle of independence, this policy defines the concrete mechanisms that make that principle enforceable in practice. It applies to the Governing Council, Executive Leadership, the Executive Secretariat and any external party seeking to influence the Chamber's positions, programs or governance decisions.</w:t>
      </w:r>
    </w:p>
    <w:p w14:paraId="00000006" w14:textId="77777777" w:rsidR="0068390D" w:rsidRPr="000E5FAC" w:rsidRDefault="0068390D">
      <w:pPr>
        <w:jc w:val="both"/>
        <w:rPr>
          <w:rFonts w:ascii="Univers" w:eastAsia="Open Sans" w:hAnsi="Univers" w:cs="Open Sans"/>
          <w:b/>
          <w:bCs/>
          <w:sz w:val="20"/>
          <w:szCs w:val="20"/>
        </w:rPr>
      </w:pPr>
    </w:p>
    <w:p w14:paraId="00000007" w14:textId="77777777" w:rsidR="0068390D" w:rsidRPr="000E5FAC" w:rsidRDefault="00000000">
      <w:pPr>
        <w:jc w:val="both"/>
        <w:rPr>
          <w:rFonts w:ascii="Univers" w:eastAsia="Open Sans" w:hAnsi="Univers" w:cs="Open Sans"/>
          <w:b/>
          <w:bCs/>
          <w:sz w:val="24"/>
          <w:szCs w:val="24"/>
        </w:rPr>
      </w:pPr>
      <w:r w:rsidRPr="000E5FAC">
        <w:rPr>
          <w:rFonts w:ascii="Univers" w:eastAsia="Open Sans" w:hAnsi="Univers" w:cs="Open Sans"/>
          <w:b/>
          <w:bCs/>
          <w:sz w:val="24"/>
          <w:szCs w:val="24"/>
        </w:rPr>
        <w:t>2. Sources of Influence Risk</w:t>
      </w:r>
    </w:p>
    <w:p w14:paraId="00000008" w14:textId="77777777" w:rsidR="0068390D" w:rsidRPr="000E5FAC" w:rsidRDefault="0068390D">
      <w:pPr>
        <w:jc w:val="both"/>
        <w:rPr>
          <w:rFonts w:ascii="Univers" w:eastAsia="Open Sans" w:hAnsi="Univers" w:cs="Open Sans"/>
          <w:sz w:val="20"/>
          <w:szCs w:val="20"/>
        </w:rPr>
      </w:pPr>
    </w:p>
    <w:p w14:paraId="00000009" w14:textId="77777777" w:rsidR="0068390D" w:rsidRPr="000E5FAC" w:rsidRDefault="00000000">
      <w:pPr>
        <w:jc w:val="both"/>
        <w:rPr>
          <w:rFonts w:ascii="Univers" w:eastAsia="Open Sans" w:hAnsi="Univers" w:cs="Open Sans"/>
          <w:sz w:val="20"/>
          <w:szCs w:val="20"/>
        </w:rPr>
      </w:pPr>
      <w:r w:rsidRPr="000E5FAC">
        <w:rPr>
          <w:rFonts w:ascii="Univers" w:eastAsia="Open Sans" w:hAnsi="Univers" w:cs="Open Sans"/>
          <w:sz w:val="20"/>
          <w:szCs w:val="20"/>
        </w:rPr>
        <w:t>Influence risk arises from several directions: individual members or member groups seeking to shape Chamber positions in their commercial favour, government or political bodies seeking to align the Chamber with a particular policy agenda, and funding or resourcing arrangements structured in a way that could create dependency on a narrow set of interests. The policy treats each of these as a distinct category of risk requiring its own safeguards, rather than addressing influence as a single undifferentiated concern.</w:t>
      </w:r>
    </w:p>
    <w:p w14:paraId="0000000A" w14:textId="77777777" w:rsidR="0068390D" w:rsidRPr="000E5FAC" w:rsidRDefault="0068390D">
      <w:pPr>
        <w:jc w:val="both"/>
        <w:rPr>
          <w:rFonts w:ascii="Univers" w:eastAsia="Open Sans" w:hAnsi="Univers" w:cs="Open Sans"/>
          <w:sz w:val="20"/>
          <w:szCs w:val="20"/>
        </w:rPr>
      </w:pPr>
    </w:p>
    <w:p w14:paraId="0000000B" w14:textId="77777777" w:rsidR="0068390D" w:rsidRPr="000E5FAC" w:rsidRDefault="00000000">
      <w:pPr>
        <w:jc w:val="both"/>
        <w:rPr>
          <w:rFonts w:ascii="Univers" w:eastAsia="Open Sans" w:hAnsi="Univers" w:cs="Open Sans"/>
          <w:b/>
          <w:bCs/>
          <w:sz w:val="24"/>
          <w:szCs w:val="24"/>
        </w:rPr>
      </w:pPr>
      <w:r w:rsidRPr="000E5FAC">
        <w:rPr>
          <w:rFonts w:ascii="Univers" w:eastAsia="Open Sans" w:hAnsi="Univers" w:cs="Open Sans"/>
          <w:b/>
          <w:bCs/>
          <w:sz w:val="24"/>
          <w:szCs w:val="24"/>
        </w:rPr>
        <w:t>3. Structural Safeguards</w:t>
      </w:r>
    </w:p>
    <w:p w14:paraId="0000000C" w14:textId="77777777" w:rsidR="0068390D" w:rsidRPr="000E5FAC" w:rsidRDefault="0068390D">
      <w:pPr>
        <w:jc w:val="both"/>
        <w:rPr>
          <w:rFonts w:ascii="Univers" w:eastAsia="Open Sans" w:hAnsi="Univers" w:cs="Open Sans"/>
          <w:sz w:val="20"/>
          <w:szCs w:val="20"/>
        </w:rPr>
      </w:pPr>
    </w:p>
    <w:p w14:paraId="0000000D" w14:textId="77777777" w:rsidR="0068390D" w:rsidRPr="000E5FAC" w:rsidRDefault="00000000">
      <w:pPr>
        <w:jc w:val="both"/>
        <w:rPr>
          <w:rFonts w:ascii="Univers" w:eastAsia="Open Sans" w:hAnsi="Univers" w:cs="Open Sans"/>
          <w:sz w:val="20"/>
          <w:szCs w:val="20"/>
        </w:rPr>
      </w:pPr>
      <w:r w:rsidRPr="000E5FAC">
        <w:rPr>
          <w:rFonts w:ascii="Univers" w:eastAsia="Open Sans" w:hAnsi="Univers" w:cs="Open Sans"/>
          <w:sz w:val="20"/>
          <w:szCs w:val="20"/>
        </w:rPr>
        <w:t>The Chamber maintains structural separations designed to prevent any single member, sector or jurisdiction from exercising disproportionate influence over governance outcomes. This includes diversification requirements in funding and membership composition, restrictions on the concentration of governance roles among related institutions, and decision-making pathways — set out in the Decision-Making Procedures &amp; Approval Pathways — that require assessment for undue influence before a matter proceeds to approval.</w:t>
      </w:r>
    </w:p>
    <w:p w14:paraId="0000000E" w14:textId="77777777" w:rsidR="0068390D" w:rsidRPr="000E5FAC" w:rsidRDefault="0068390D">
      <w:pPr>
        <w:jc w:val="both"/>
        <w:rPr>
          <w:rFonts w:ascii="Univers" w:eastAsia="Open Sans" w:hAnsi="Univers" w:cs="Open Sans"/>
          <w:b/>
          <w:bCs/>
          <w:sz w:val="20"/>
          <w:szCs w:val="20"/>
        </w:rPr>
      </w:pPr>
    </w:p>
    <w:p w14:paraId="0000000F" w14:textId="77777777" w:rsidR="0068390D" w:rsidRPr="000E5FAC" w:rsidRDefault="00000000">
      <w:pPr>
        <w:jc w:val="both"/>
        <w:rPr>
          <w:rFonts w:ascii="Univers" w:eastAsia="Open Sans" w:hAnsi="Univers" w:cs="Open Sans"/>
          <w:b/>
          <w:bCs/>
          <w:sz w:val="24"/>
          <w:szCs w:val="24"/>
        </w:rPr>
      </w:pPr>
      <w:r w:rsidRPr="000E5FAC">
        <w:rPr>
          <w:rFonts w:ascii="Univers" w:eastAsia="Open Sans" w:hAnsi="Univers" w:cs="Open Sans"/>
          <w:b/>
          <w:bCs/>
          <w:sz w:val="24"/>
          <w:szCs w:val="24"/>
        </w:rPr>
        <w:t>4. Boundaries on External Engagement</w:t>
      </w:r>
    </w:p>
    <w:p w14:paraId="00000010" w14:textId="77777777" w:rsidR="0068390D" w:rsidRPr="000E5FAC" w:rsidRDefault="0068390D">
      <w:pPr>
        <w:jc w:val="both"/>
        <w:rPr>
          <w:rFonts w:ascii="Univers" w:eastAsia="Open Sans" w:hAnsi="Univers" w:cs="Open Sans"/>
          <w:sz w:val="20"/>
          <w:szCs w:val="20"/>
        </w:rPr>
      </w:pPr>
    </w:p>
    <w:p w14:paraId="00000011" w14:textId="77777777" w:rsidR="0068390D" w:rsidRPr="000E5FAC" w:rsidRDefault="00000000">
      <w:pPr>
        <w:jc w:val="both"/>
        <w:rPr>
          <w:rFonts w:ascii="Univers" w:eastAsia="Open Sans" w:hAnsi="Univers" w:cs="Open Sans"/>
          <w:sz w:val="20"/>
          <w:szCs w:val="20"/>
        </w:rPr>
      </w:pPr>
      <w:r w:rsidRPr="000E5FAC">
        <w:rPr>
          <w:rFonts w:ascii="Univers" w:eastAsia="Open Sans" w:hAnsi="Univers" w:cs="Open Sans"/>
          <w:sz w:val="20"/>
          <w:szCs w:val="20"/>
        </w:rPr>
        <w:t xml:space="preserve">Leadership, Secretariat personnel and governance representatives must not accept instructions, incentives or undisclosed arrangements from external parties that could compromise the neutrality of their conduct within the Chamber. Engagement with government bodies, regulators and commercial members must be conducted transparently </w:t>
      </w:r>
      <w:proofErr w:type="gramStart"/>
      <w:r w:rsidRPr="000E5FAC">
        <w:rPr>
          <w:rFonts w:ascii="Univers" w:eastAsia="Open Sans" w:hAnsi="Univers" w:cs="Open Sans"/>
          <w:sz w:val="20"/>
          <w:szCs w:val="20"/>
        </w:rPr>
        <w:t>and in a manner</w:t>
      </w:r>
      <w:proofErr w:type="gramEnd"/>
      <w:r w:rsidRPr="000E5FAC">
        <w:rPr>
          <w:rFonts w:ascii="Univers" w:eastAsia="Open Sans" w:hAnsi="Univers" w:cs="Open Sans"/>
          <w:sz w:val="20"/>
          <w:szCs w:val="20"/>
        </w:rPr>
        <w:t xml:space="preserve"> consistent with the Chamber's broader engagement protocols, ensuring that no relationship develops in a manner inconsistent with institutional neutrality.</w:t>
      </w:r>
    </w:p>
    <w:p w14:paraId="00000012" w14:textId="77777777" w:rsidR="0068390D" w:rsidRPr="000E5FAC" w:rsidRDefault="0068390D">
      <w:pPr>
        <w:jc w:val="both"/>
        <w:rPr>
          <w:rFonts w:ascii="Univers" w:eastAsia="Open Sans" w:hAnsi="Univers" w:cs="Open Sans"/>
          <w:sz w:val="20"/>
          <w:szCs w:val="20"/>
        </w:rPr>
      </w:pPr>
    </w:p>
    <w:p w14:paraId="00000013" w14:textId="77777777" w:rsidR="0068390D" w:rsidRPr="000E5FAC" w:rsidRDefault="00000000">
      <w:pPr>
        <w:jc w:val="both"/>
        <w:rPr>
          <w:rFonts w:ascii="Univers" w:eastAsia="Open Sans" w:hAnsi="Univers" w:cs="Open Sans"/>
          <w:b/>
          <w:bCs/>
          <w:sz w:val="24"/>
          <w:szCs w:val="24"/>
        </w:rPr>
      </w:pPr>
      <w:r w:rsidRPr="000E5FAC">
        <w:rPr>
          <w:rFonts w:ascii="Univers" w:eastAsia="Open Sans" w:hAnsi="Univers" w:cs="Open Sans"/>
          <w:b/>
          <w:bCs/>
          <w:sz w:val="24"/>
          <w:szCs w:val="24"/>
        </w:rPr>
        <w:t>5. Monitoring and Enforcement</w:t>
      </w:r>
    </w:p>
    <w:p w14:paraId="00000014" w14:textId="77777777" w:rsidR="0068390D" w:rsidRPr="000E5FAC" w:rsidRDefault="0068390D">
      <w:pPr>
        <w:jc w:val="both"/>
        <w:rPr>
          <w:rFonts w:ascii="Univers" w:eastAsia="Open Sans" w:hAnsi="Univers" w:cs="Open Sans"/>
          <w:sz w:val="20"/>
          <w:szCs w:val="20"/>
        </w:rPr>
      </w:pPr>
    </w:p>
    <w:p w14:paraId="00000015" w14:textId="77777777" w:rsidR="0068390D" w:rsidRPr="000E5FAC" w:rsidRDefault="00000000">
      <w:pPr>
        <w:jc w:val="both"/>
        <w:rPr>
          <w:rFonts w:ascii="Univers" w:eastAsia="Open Sans" w:hAnsi="Univers" w:cs="Open Sans"/>
          <w:sz w:val="20"/>
          <w:szCs w:val="20"/>
        </w:rPr>
      </w:pPr>
      <w:r w:rsidRPr="000E5FAC">
        <w:rPr>
          <w:rFonts w:ascii="Univers" w:eastAsia="Open Sans" w:hAnsi="Univers" w:cs="Open Sans"/>
          <w:sz w:val="20"/>
          <w:szCs w:val="20"/>
        </w:rPr>
        <w:t>Oversight &amp; Compliance Functions are responsible for monitoring adherence to this policy, including periodic review of governance composition, funding sources and external relationships for emerging influence risk. Suspected breaches are assessed and, where substantiated, escalated in accordance with the Chamber's accountability standards, with responses proportionate to the severity and persistence of the influence identified.</w:t>
      </w:r>
    </w:p>
    <w:p w14:paraId="00000019" w14:textId="77777777" w:rsidR="0068390D" w:rsidRPr="000E5FAC" w:rsidRDefault="0068390D">
      <w:pPr>
        <w:jc w:val="both"/>
        <w:rPr>
          <w:rFonts w:ascii="Univers" w:eastAsia="Open Sans" w:hAnsi="Univers" w:cs="Open Sans"/>
          <w:b/>
          <w:bCs/>
          <w:sz w:val="20"/>
          <w:szCs w:val="20"/>
        </w:rPr>
      </w:pPr>
    </w:p>
    <w:p w14:paraId="0000001A" w14:textId="77777777" w:rsidR="0068390D" w:rsidRPr="000E5FAC" w:rsidRDefault="00000000">
      <w:pPr>
        <w:jc w:val="both"/>
        <w:rPr>
          <w:rFonts w:ascii="Univers" w:eastAsia="Open Sans" w:hAnsi="Univers" w:cs="Open Sans"/>
          <w:b/>
          <w:bCs/>
          <w:sz w:val="24"/>
          <w:szCs w:val="24"/>
        </w:rPr>
      </w:pPr>
      <w:r w:rsidRPr="000E5FAC">
        <w:rPr>
          <w:rFonts w:ascii="Univers" w:eastAsia="Open Sans" w:hAnsi="Univers" w:cs="Open Sans"/>
          <w:b/>
          <w:bCs/>
          <w:sz w:val="24"/>
          <w:szCs w:val="24"/>
        </w:rPr>
        <w:t>6. Institutional Significance</w:t>
      </w:r>
    </w:p>
    <w:p w14:paraId="0000001B" w14:textId="77777777" w:rsidR="0068390D" w:rsidRPr="000E5FAC" w:rsidRDefault="0068390D">
      <w:pPr>
        <w:jc w:val="both"/>
        <w:rPr>
          <w:rFonts w:ascii="Univers" w:eastAsia="Open Sans" w:hAnsi="Univers" w:cs="Open Sans"/>
          <w:sz w:val="20"/>
          <w:szCs w:val="20"/>
        </w:rPr>
      </w:pPr>
    </w:p>
    <w:p w14:paraId="0000001D" w14:textId="55B69651" w:rsidR="0068390D" w:rsidRPr="000E5FAC" w:rsidRDefault="00000000" w:rsidP="000E5FAC">
      <w:pPr>
        <w:jc w:val="both"/>
        <w:rPr>
          <w:rFonts w:ascii="Univers" w:eastAsia="Open Sans" w:hAnsi="Univers" w:cs="Open Sans"/>
          <w:sz w:val="20"/>
          <w:szCs w:val="20"/>
        </w:rPr>
      </w:pPr>
      <w:r w:rsidRPr="000E5FAC">
        <w:rPr>
          <w:rFonts w:ascii="Univers" w:eastAsia="Open Sans" w:hAnsi="Univers" w:cs="Open Sans"/>
          <w:sz w:val="20"/>
          <w:szCs w:val="20"/>
        </w:rPr>
        <w:t>An institution that facilitates dialogue between competing commercial and political interests has value only to the extent that its neutrality is genuine and demonstrably protected. This policy ensures that the Chamber's independence is not simply declared, but actively defended through specific, enforceable mechanisms — a distinction that determines whether the institution can be trusted to convene diverse interests fairly over the long term.</w:t>
      </w:r>
    </w:p>
    <w:sectPr w:rsidR="0068390D" w:rsidRPr="000E5FA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B4D246A-8D04-4A41-920C-BE67D4826F4F}"/>
    <w:embedItalic r:id="rId2" w:fontKey="{BE0ABE82-1858-432E-9E68-03FC34CAA2DB}"/>
  </w:font>
  <w:font w:name="Play">
    <w:charset w:val="00"/>
    <w:family w:val="auto"/>
    <w:pitch w:val="default"/>
    <w:embedRegular r:id="rId3" w:fontKey="{2B35BA80-019F-4F42-B0C1-E8D4D4206005}"/>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71B58D74-E87E-4BBB-ADC3-075E1E189323}"/>
    <w:embedBold r:id="rId5" w:fontKey="{FD43F333-2D06-450A-8BEF-BBCCE23ABB91}"/>
  </w:font>
  <w:font w:name="Open Sans">
    <w:charset w:val="00"/>
    <w:family w:val="swiss"/>
    <w:pitch w:val="variable"/>
    <w:sig w:usb0="E00002EF" w:usb1="4000205B" w:usb2="00000028" w:usb3="00000000" w:csb0="0000019F" w:csb1="00000000"/>
    <w:embedRegular r:id="rId6" w:fontKey="{7586D7B1-2374-49D1-9383-2FB100F66FCE}"/>
    <w:embedBold r:id="rId7" w:fontKey="{59B72B80-260F-4850-8A32-9C7A0293267B}"/>
  </w:font>
  <w:font w:name="Calibri">
    <w:panose1 w:val="020F0502020204030204"/>
    <w:charset w:val="00"/>
    <w:family w:val="swiss"/>
    <w:pitch w:val="variable"/>
    <w:sig w:usb0="E4002EFF" w:usb1="C200247B" w:usb2="00000009" w:usb3="00000000" w:csb0="000001FF" w:csb1="00000000"/>
    <w:embedRegular r:id="rId8" w:fontKey="{41E547E1-9B5D-40ED-AED7-BEECB3FE2447}"/>
  </w:font>
  <w:font w:name="Cambria">
    <w:panose1 w:val="02040503050406030204"/>
    <w:charset w:val="00"/>
    <w:family w:val="roman"/>
    <w:pitch w:val="variable"/>
    <w:sig w:usb0="E00006FF" w:usb1="420024FF" w:usb2="02000000" w:usb3="00000000" w:csb0="0000019F" w:csb1="00000000"/>
    <w:embedRegular r:id="rId9" w:fontKey="{75BC52F1-6489-4261-BA2B-484FB047B2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90D"/>
    <w:rsid w:val="0001093A"/>
    <w:rsid w:val="000E5FAC"/>
    <w:rsid w:val="0068390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18B4"/>
  <w15:docId w15:val="{0F455804-C800-40F3-9012-1C63C42E9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WL3p+AAiiiL8wxaBFphdBw5DYg==">CgMxLjA4AHIhMW1uQUtjS0VjRWdWdUQ0ZDJsSjBnWjJkN0pHdEpucF9h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486</Words>
  <Characters>2771</Characters>
  <Application>Microsoft Office Word</Application>
  <DocSecurity>0</DocSecurity>
  <Lines>23</Lines>
  <Paragraphs>6</Paragraphs>
  <ScaleCrop>false</ScaleCrop>
  <Company>Department of Education</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2026-07-23T09:41:00Z</dcterms:created>
  <dcterms:modified xsi:type="dcterms:W3CDTF">2026-07-23T09:41:00Z</dcterms:modified>
</cp:coreProperties>
</file>