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1587F" w:rsidRPr="004C0A5D" w:rsidRDefault="00000000">
      <w:pPr>
        <w:jc w:val="center"/>
        <w:rPr>
          <w:rFonts w:ascii="Univers" w:eastAsia="Open Sans" w:hAnsi="Univers" w:cs="Open Sans"/>
          <w:b/>
          <w:bCs/>
          <w:sz w:val="24"/>
          <w:szCs w:val="24"/>
        </w:rPr>
      </w:pPr>
      <w:r w:rsidRPr="004C0A5D">
        <w:rPr>
          <w:rFonts w:ascii="Univers" w:eastAsia="Open Sans" w:hAnsi="Univers" w:cs="Open Sans"/>
          <w:b/>
          <w:bCs/>
          <w:sz w:val="24"/>
          <w:szCs w:val="24"/>
        </w:rPr>
        <w:t>INSTITUTIONAL RISK MANAGEMENT GUIDELINES</w:t>
      </w:r>
    </w:p>
    <w:p w14:paraId="00000002" w14:textId="77777777" w:rsidR="00F1587F" w:rsidRPr="004C0A5D" w:rsidRDefault="00F1587F">
      <w:pPr>
        <w:rPr>
          <w:rFonts w:ascii="Univers" w:eastAsia="Open Sans" w:hAnsi="Univers" w:cs="Open Sans"/>
          <w:sz w:val="20"/>
          <w:szCs w:val="20"/>
        </w:rPr>
      </w:pPr>
    </w:p>
    <w:p w14:paraId="00000003" w14:textId="77777777" w:rsidR="00F1587F" w:rsidRPr="004C0A5D" w:rsidRDefault="00000000">
      <w:pPr>
        <w:jc w:val="both"/>
        <w:rPr>
          <w:rFonts w:ascii="Univers" w:eastAsia="Open Sans" w:hAnsi="Univers" w:cs="Open Sans"/>
          <w:b/>
          <w:bCs/>
          <w:sz w:val="24"/>
          <w:szCs w:val="24"/>
        </w:rPr>
      </w:pPr>
      <w:r w:rsidRPr="004C0A5D">
        <w:rPr>
          <w:rFonts w:ascii="Univers" w:eastAsia="Open Sans" w:hAnsi="Univers" w:cs="Open Sans"/>
          <w:b/>
          <w:bCs/>
          <w:sz w:val="24"/>
          <w:szCs w:val="24"/>
        </w:rPr>
        <w:t>1. Purpose and Scope</w:t>
      </w:r>
    </w:p>
    <w:p w14:paraId="00000004" w14:textId="77777777" w:rsidR="00F1587F" w:rsidRPr="004C0A5D" w:rsidRDefault="00F1587F">
      <w:pPr>
        <w:jc w:val="both"/>
        <w:rPr>
          <w:rFonts w:ascii="Univers" w:eastAsia="Open Sans" w:hAnsi="Univers" w:cs="Open Sans"/>
          <w:sz w:val="20"/>
          <w:szCs w:val="20"/>
        </w:rPr>
      </w:pPr>
    </w:p>
    <w:p w14:paraId="00000005" w14:textId="77777777" w:rsidR="00F1587F" w:rsidRPr="004C0A5D" w:rsidRDefault="00000000">
      <w:pPr>
        <w:jc w:val="both"/>
        <w:rPr>
          <w:rFonts w:ascii="Univers" w:eastAsia="Open Sans" w:hAnsi="Univers" w:cs="Open Sans"/>
          <w:sz w:val="20"/>
          <w:szCs w:val="20"/>
        </w:rPr>
      </w:pPr>
      <w:r w:rsidRPr="004C0A5D">
        <w:rPr>
          <w:rFonts w:ascii="Univers" w:eastAsia="Open Sans" w:hAnsi="Univers" w:cs="Open Sans"/>
          <w:sz w:val="20"/>
          <w:szCs w:val="20"/>
        </w:rPr>
        <w:t>The Institutional Risk Management Guidelines set out how the World Economic Chamber identifies, assesses and manages risks arising across its governance, operational and cross-border activities. They apply to all governance bodies and Secretariat functions and are designed to ensure that risk is managed proactively rather than addressed only after it has materialised.</w:t>
      </w:r>
    </w:p>
    <w:p w14:paraId="00000006" w14:textId="77777777" w:rsidR="00F1587F" w:rsidRPr="004C0A5D" w:rsidRDefault="00F1587F">
      <w:pPr>
        <w:jc w:val="both"/>
        <w:rPr>
          <w:rFonts w:ascii="Univers" w:eastAsia="Open Sans" w:hAnsi="Univers" w:cs="Open Sans"/>
          <w:b/>
          <w:bCs/>
          <w:sz w:val="20"/>
          <w:szCs w:val="20"/>
        </w:rPr>
      </w:pPr>
    </w:p>
    <w:p w14:paraId="00000007" w14:textId="77777777" w:rsidR="00F1587F" w:rsidRPr="004C0A5D" w:rsidRDefault="00000000">
      <w:pPr>
        <w:jc w:val="both"/>
        <w:rPr>
          <w:rFonts w:ascii="Univers" w:eastAsia="Open Sans" w:hAnsi="Univers" w:cs="Open Sans"/>
          <w:b/>
          <w:bCs/>
          <w:sz w:val="24"/>
          <w:szCs w:val="24"/>
        </w:rPr>
      </w:pPr>
      <w:r w:rsidRPr="004C0A5D">
        <w:rPr>
          <w:rFonts w:ascii="Univers" w:eastAsia="Open Sans" w:hAnsi="Univers" w:cs="Open Sans"/>
          <w:b/>
          <w:bCs/>
          <w:sz w:val="24"/>
          <w:szCs w:val="24"/>
        </w:rPr>
        <w:t>2. Categories of Institutional Risk</w:t>
      </w:r>
    </w:p>
    <w:p w14:paraId="00000008" w14:textId="77777777" w:rsidR="00F1587F" w:rsidRPr="004C0A5D" w:rsidRDefault="00F1587F">
      <w:pPr>
        <w:jc w:val="both"/>
        <w:rPr>
          <w:rFonts w:ascii="Univers" w:eastAsia="Open Sans" w:hAnsi="Univers" w:cs="Open Sans"/>
          <w:sz w:val="20"/>
          <w:szCs w:val="20"/>
        </w:rPr>
      </w:pPr>
    </w:p>
    <w:p w14:paraId="00000009" w14:textId="77777777" w:rsidR="00F1587F" w:rsidRPr="004C0A5D" w:rsidRDefault="00000000">
      <w:pPr>
        <w:jc w:val="both"/>
        <w:rPr>
          <w:rFonts w:ascii="Univers" w:eastAsia="Open Sans" w:hAnsi="Univers" w:cs="Open Sans"/>
          <w:sz w:val="20"/>
          <w:szCs w:val="20"/>
        </w:rPr>
      </w:pPr>
      <w:r w:rsidRPr="004C0A5D">
        <w:rPr>
          <w:rFonts w:ascii="Univers" w:eastAsia="Open Sans" w:hAnsi="Univers" w:cs="Open Sans"/>
          <w:sz w:val="20"/>
          <w:szCs w:val="20"/>
        </w:rPr>
        <w:t>The Chamber recognises several categories of risk relevant to its work: governance risk, arising from lapses in decision-making discipline or accountability; reputational risk, arising from member conduct or external association; regulatory and cross-border risk, arising from the diversity of jurisdictions in which the Chamber operates; and independence risk, arising from undue influence on institutional neutrality. Each category requires distinct assessment criteria and mitigation approaches.</w:t>
      </w:r>
    </w:p>
    <w:p w14:paraId="0000000A" w14:textId="77777777" w:rsidR="00F1587F" w:rsidRPr="004C0A5D" w:rsidRDefault="00F1587F">
      <w:pPr>
        <w:jc w:val="both"/>
        <w:rPr>
          <w:rFonts w:ascii="Univers" w:eastAsia="Open Sans" w:hAnsi="Univers" w:cs="Open Sans"/>
          <w:b/>
          <w:bCs/>
          <w:sz w:val="20"/>
          <w:szCs w:val="20"/>
        </w:rPr>
      </w:pPr>
    </w:p>
    <w:p w14:paraId="0000000B" w14:textId="77777777" w:rsidR="00F1587F" w:rsidRPr="004C0A5D" w:rsidRDefault="00000000">
      <w:pPr>
        <w:jc w:val="both"/>
        <w:rPr>
          <w:rFonts w:ascii="Univers" w:eastAsia="Open Sans" w:hAnsi="Univers" w:cs="Open Sans"/>
          <w:b/>
          <w:bCs/>
          <w:sz w:val="24"/>
          <w:szCs w:val="24"/>
        </w:rPr>
      </w:pPr>
      <w:r w:rsidRPr="004C0A5D">
        <w:rPr>
          <w:rFonts w:ascii="Univers" w:eastAsia="Open Sans" w:hAnsi="Univers" w:cs="Open Sans"/>
          <w:b/>
          <w:bCs/>
          <w:sz w:val="24"/>
          <w:szCs w:val="24"/>
        </w:rPr>
        <w:t>3. Identification and Assessment</w:t>
      </w:r>
    </w:p>
    <w:p w14:paraId="0000000C" w14:textId="77777777" w:rsidR="00F1587F" w:rsidRPr="004C0A5D" w:rsidRDefault="00F1587F">
      <w:pPr>
        <w:jc w:val="both"/>
        <w:rPr>
          <w:rFonts w:ascii="Univers" w:eastAsia="Open Sans" w:hAnsi="Univers" w:cs="Open Sans"/>
          <w:sz w:val="20"/>
          <w:szCs w:val="20"/>
        </w:rPr>
      </w:pPr>
    </w:p>
    <w:p w14:paraId="0000000D" w14:textId="77777777" w:rsidR="00F1587F" w:rsidRPr="004C0A5D" w:rsidRDefault="00000000">
      <w:pPr>
        <w:jc w:val="both"/>
        <w:rPr>
          <w:rFonts w:ascii="Univers" w:eastAsia="Open Sans" w:hAnsi="Univers" w:cs="Open Sans"/>
          <w:sz w:val="20"/>
          <w:szCs w:val="20"/>
        </w:rPr>
      </w:pPr>
      <w:r w:rsidRPr="004C0A5D">
        <w:rPr>
          <w:rFonts w:ascii="Univers" w:eastAsia="Open Sans" w:hAnsi="Univers" w:cs="Open Sans"/>
          <w:sz w:val="20"/>
          <w:szCs w:val="20"/>
        </w:rPr>
        <w:t>Risks are identified through ongoing monitoring by Oversight &amp; Compliance Functions, escalation from Secretariat operations, and structured review conducted as part of the Chamber's decision-making procedures. Identified risks are assessed for likelihood and institutional impact, with findings documented and reported to the appropriate governance body according to severity.</w:t>
      </w:r>
    </w:p>
    <w:p w14:paraId="0000000E" w14:textId="77777777" w:rsidR="00F1587F" w:rsidRPr="004C0A5D" w:rsidRDefault="00F1587F">
      <w:pPr>
        <w:jc w:val="both"/>
        <w:rPr>
          <w:rFonts w:ascii="Univers" w:eastAsia="Open Sans" w:hAnsi="Univers" w:cs="Open Sans"/>
          <w:b/>
          <w:bCs/>
          <w:sz w:val="20"/>
          <w:szCs w:val="20"/>
        </w:rPr>
      </w:pPr>
    </w:p>
    <w:p w14:paraId="0000000F" w14:textId="77777777" w:rsidR="00F1587F" w:rsidRPr="004C0A5D" w:rsidRDefault="00000000">
      <w:pPr>
        <w:jc w:val="both"/>
        <w:rPr>
          <w:rFonts w:ascii="Univers" w:eastAsia="Open Sans" w:hAnsi="Univers" w:cs="Open Sans"/>
          <w:b/>
          <w:bCs/>
          <w:sz w:val="24"/>
          <w:szCs w:val="24"/>
        </w:rPr>
      </w:pPr>
      <w:r w:rsidRPr="004C0A5D">
        <w:rPr>
          <w:rFonts w:ascii="Univers" w:eastAsia="Open Sans" w:hAnsi="Univers" w:cs="Open Sans"/>
          <w:b/>
          <w:bCs/>
          <w:sz w:val="24"/>
          <w:szCs w:val="24"/>
        </w:rPr>
        <w:t>4. Mitigation and Escalation</w:t>
      </w:r>
    </w:p>
    <w:p w14:paraId="00000010" w14:textId="77777777" w:rsidR="00F1587F" w:rsidRPr="004C0A5D" w:rsidRDefault="00F1587F">
      <w:pPr>
        <w:jc w:val="both"/>
        <w:rPr>
          <w:rFonts w:ascii="Univers" w:eastAsia="Open Sans" w:hAnsi="Univers" w:cs="Open Sans"/>
          <w:sz w:val="20"/>
          <w:szCs w:val="20"/>
        </w:rPr>
      </w:pPr>
    </w:p>
    <w:p w14:paraId="00000011" w14:textId="77777777" w:rsidR="00F1587F" w:rsidRPr="004C0A5D" w:rsidRDefault="00000000">
      <w:pPr>
        <w:jc w:val="both"/>
        <w:rPr>
          <w:rFonts w:ascii="Univers" w:eastAsia="Open Sans" w:hAnsi="Univers" w:cs="Open Sans"/>
          <w:sz w:val="20"/>
          <w:szCs w:val="20"/>
        </w:rPr>
      </w:pPr>
      <w:r w:rsidRPr="004C0A5D">
        <w:rPr>
          <w:rFonts w:ascii="Univers" w:eastAsia="Open Sans" w:hAnsi="Univers" w:cs="Open Sans"/>
          <w:sz w:val="20"/>
          <w:szCs w:val="20"/>
        </w:rPr>
        <w:t>Mitigation measures must be proportionate to the assessed risk and implemented by the responsible function, with material or unresolved risks escalated to Executive Leadership or the Governing Council. Risk mitigation is monitored until resolution and documented in accordance with the Chamber's record-keeping standards.</w:t>
      </w:r>
    </w:p>
    <w:p w14:paraId="00000012" w14:textId="77777777" w:rsidR="00F1587F" w:rsidRPr="004C0A5D" w:rsidRDefault="00F1587F">
      <w:pPr>
        <w:jc w:val="both"/>
        <w:rPr>
          <w:rFonts w:ascii="Univers" w:eastAsia="Open Sans" w:hAnsi="Univers" w:cs="Open Sans"/>
          <w:b/>
          <w:bCs/>
          <w:sz w:val="20"/>
          <w:szCs w:val="20"/>
        </w:rPr>
      </w:pPr>
    </w:p>
    <w:p w14:paraId="00000013" w14:textId="77777777" w:rsidR="00F1587F" w:rsidRPr="004C0A5D" w:rsidRDefault="00000000">
      <w:pPr>
        <w:jc w:val="both"/>
        <w:rPr>
          <w:rFonts w:ascii="Univers" w:eastAsia="Open Sans" w:hAnsi="Univers" w:cs="Open Sans"/>
          <w:b/>
          <w:bCs/>
          <w:sz w:val="24"/>
          <w:szCs w:val="24"/>
        </w:rPr>
      </w:pPr>
      <w:r w:rsidRPr="004C0A5D">
        <w:rPr>
          <w:rFonts w:ascii="Univers" w:eastAsia="Open Sans" w:hAnsi="Univers" w:cs="Open Sans"/>
          <w:b/>
          <w:bCs/>
          <w:sz w:val="24"/>
          <w:szCs w:val="24"/>
        </w:rPr>
        <w:t>5. Institutional Significance</w:t>
      </w:r>
    </w:p>
    <w:p w14:paraId="00000014" w14:textId="77777777" w:rsidR="00F1587F" w:rsidRPr="004C0A5D" w:rsidRDefault="00F1587F">
      <w:pPr>
        <w:jc w:val="both"/>
        <w:rPr>
          <w:rFonts w:ascii="Univers" w:eastAsia="Open Sans" w:hAnsi="Univers" w:cs="Open Sans"/>
          <w:sz w:val="20"/>
          <w:szCs w:val="20"/>
        </w:rPr>
      </w:pPr>
    </w:p>
    <w:p w14:paraId="00000015" w14:textId="77777777" w:rsidR="00F1587F" w:rsidRPr="004C0A5D" w:rsidRDefault="00000000">
      <w:pPr>
        <w:jc w:val="both"/>
        <w:rPr>
          <w:rFonts w:ascii="Univers" w:eastAsia="Open Sans" w:hAnsi="Univers" w:cs="Open Sans"/>
          <w:sz w:val="20"/>
          <w:szCs w:val="20"/>
        </w:rPr>
      </w:pPr>
      <w:r w:rsidRPr="004C0A5D">
        <w:rPr>
          <w:rFonts w:ascii="Univers" w:eastAsia="Open Sans" w:hAnsi="Univers" w:cs="Open Sans"/>
          <w:sz w:val="20"/>
          <w:szCs w:val="20"/>
        </w:rPr>
        <w:t>Disciplined risk management allows the Chamber to operate with the prudence expected of an institution engaged across diverse jurisdictions, protecting its stability, credibility and capacity to serve its members reliably over the long term.</w:t>
      </w:r>
    </w:p>
    <w:p w14:paraId="00000016" w14:textId="77777777" w:rsidR="00F1587F" w:rsidRPr="004C0A5D" w:rsidRDefault="00F1587F">
      <w:pPr>
        <w:rPr>
          <w:rFonts w:ascii="Univers" w:eastAsia="Open Sans" w:hAnsi="Univers" w:cs="Open Sans"/>
          <w:sz w:val="20"/>
          <w:szCs w:val="20"/>
        </w:rPr>
      </w:pPr>
    </w:p>
    <w:sectPr w:rsidR="00F1587F" w:rsidRPr="004C0A5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3AD33E9-1A8A-4D7D-8293-1C8221DB3A17}"/>
    <w:embedItalic r:id="rId2" w:fontKey="{3F8DE00D-F37A-4553-A262-AA51D184D5A7}"/>
  </w:font>
  <w:font w:name="Play">
    <w:charset w:val="00"/>
    <w:family w:val="auto"/>
    <w:pitch w:val="default"/>
    <w:embedRegular r:id="rId3" w:fontKey="{6C3DCE13-8399-4918-B8F3-4A2D84B95EDC}"/>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E9092792-1B3D-45DC-B463-652506103B82}"/>
    <w:embedBold r:id="rId5" w:fontKey="{9D9721EC-1D36-454D-8A5D-9B64A3E8D96D}"/>
  </w:font>
  <w:font w:name="Open Sans">
    <w:charset w:val="00"/>
    <w:family w:val="swiss"/>
    <w:pitch w:val="variable"/>
    <w:sig w:usb0="E00002EF" w:usb1="4000205B" w:usb2="00000028" w:usb3="00000000" w:csb0="0000019F" w:csb1="00000000"/>
    <w:embedRegular r:id="rId6" w:fontKey="{66C7A193-691F-44E3-A775-0170D7BCD77E}"/>
    <w:embedBold r:id="rId7" w:fontKey="{59072E52-FE79-4213-BB64-9E7CDBCD7A45}"/>
  </w:font>
  <w:font w:name="Calibri">
    <w:panose1 w:val="020F0502020204030204"/>
    <w:charset w:val="00"/>
    <w:family w:val="swiss"/>
    <w:pitch w:val="variable"/>
    <w:sig w:usb0="E4002EFF" w:usb1="C200247B" w:usb2="00000009" w:usb3="00000000" w:csb0="000001FF" w:csb1="00000000"/>
    <w:embedRegular r:id="rId8" w:fontKey="{BDEC67F2-C247-41B4-AB85-E87C9359EF14}"/>
  </w:font>
  <w:font w:name="Cambria">
    <w:panose1 w:val="02040503050406030204"/>
    <w:charset w:val="00"/>
    <w:family w:val="roman"/>
    <w:pitch w:val="variable"/>
    <w:sig w:usb0="E00006FF" w:usb1="420024FF" w:usb2="02000000" w:usb3="00000000" w:csb0="0000019F" w:csb1="00000000"/>
    <w:embedRegular r:id="rId9" w:fontKey="{F3B92460-9809-479C-B1DD-6DA35CC38C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87F"/>
    <w:rsid w:val="004C0A5D"/>
    <w:rsid w:val="00914D5D"/>
    <w:rsid w:val="00F1587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2BAA4D-2AE4-4553-B617-18BB016D5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8zpiaww6h2zn+7O+GJVHFv2bkQ==">CgMxLjA4AHIhMXNfYjJKR2lwZnpGMFRaZGJaeUJCVElZMUxLcGFBUzVm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300</Words>
  <Characters>1712</Characters>
  <Application>Microsoft Office Word</Application>
  <DocSecurity>0</DocSecurity>
  <Lines>14</Lines>
  <Paragraphs>4</Paragraphs>
  <ScaleCrop>false</ScaleCrop>
  <Company>Department of Education</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2026-07-23T09:42:00Z</dcterms:created>
  <dcterms:modified xsi:type="dcterms:W3CDTF">2026-07-23T09:42:00Z</dcterms:modified>
</cp:coreProperties>
</file>