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80086" w:rsidRPr="00055C3E" w:rsidRDefault="00000000">
      <w:pPr>
        <w:jc w:val="center"/>
        <w:rPr>
          <w:rFonts w:ascii="Univers" w:eastAsia="Open Sans" w:hAnsi="Univers" w:cs="Open Sans"/>
          <w:b/>
          <w:bCs/>
          <w:sz w:val="24"/>
          <w:szCs w:val="24"/>
        </w:rPr>
      </w:pPr>
      <w:r w:rsidRPr="00055C3E">
        <w:rPr>
          <w:rFonts w:ascii="Univers" w:eastAsia="Open Sans" w:hAnsi="Univers" w:cs="Open Sans"/>
          <w:b/>
          <w:bCs/>
          <w:sz w:val="24"/>
          <w:szCs w:val="24"/>
        </w:rPr>
        <w:t>GLOBAL RELATIONS &amp; REGIONAL ENGAGEMENT</w:t>
      </w:r>
    </w:p>
    <w:p w14:paraId="00000002" w14:textId="77777777" w:rsidR="00480086" w:rsidRPr="00055C3E" w:rsidRDefault="00480086">
      <w:pPr>
        <w:jc w:val="both"/>
        <w:rPr>
          <w:rFonts w:ascii="Univers" w:eastAsia="Open Sans" w:hAnsi="Univers" w:cs="Open Sans"/>
          <w:sz w:val="20"/>
          <w:szCs w:val="20"/>
        </w:rPr>
      </w:pPr>
    </w:p>
    <w:p w14:paraId="00000003" w14:textId="77777777" w:rsidR="00480086" w:rsidRPr="00055C3E" w:rsidRDefault="00000000">
      <w:pPr>
        <w:jc w:val="both"/>
        <w:rPr>
          <w:rFonts w:ascii="Univers" w:eastAsia="Open Sans" w:hAnsi="Univers" w:cs="Open Sans"/>
          <w:b/>
          <w:bCs/>
          <w:sz w:val="20"/>
          <w:szCs w:val="20"/>
        </w:rPr>
      </w:pPr>
      <w:r w:rsidRPr="00055C3E">
        <w:rPr>
          <w:rFonts w:ascii="Univers" w:eastAsia="Open Sans" w:hAnsi="Univers" w:cs="Open Sans"/>
          <w:b/>
          <w:bCs/>
          <w:sz w:val="20"/>
          <w:szCs w:val="20"/>
        </w:rPr>
        <w:t>The World Economic Chamber maintains a structured approach to regional engagement and international liaison, ensuring that its cross-border relationships are built with the consistency, discretion and institutional discipline expected of an organisation operating across diverse economic and regulatory environments.</w:t>
      </w:r>
    </w:p>
    <w:p w14:paraId="00000004" w14:textId="77777777" w:rsidR="00480086" w:rsidRPr="00055C3E" w:rsidRDefault="00480086">
      <w:pPr>
        <w:jc w:val="both"/>
        <w:rPr>
          <w:rFonts w:ascii="Univers" w:eastAsia="Open Sans" w:hAnsi="Univers" w:cs="Open Sans"/>
          <w:b/>
          <w:bCs/>
          <w:sz w:val="20"/>
          <w:szCs w:val="20"/>
        </w:rPr>
      </w:pPr>
    </w:p>
    <w:p w14:paraId="00000005" w14:textId="77777777" w:rsidR="00480086" w:rsidRPr="00055C3E" w:rsidRDefault="00000000">
      <w:pPr>
        <w:jc w:val="both"/>
        <w:rPr>
          <w:rFonts w:ascii="Univers" w:eastAsia="Open Sans" w:hAnsi="Univers" w:cs="Open Sans"/>
          <w:b/>
          <w:bCs/>
          <w:sz w:val="24"/>
          <w:szCs w:val="24"/>
        </w:rPr>
      </w:pPr>
      <w:r w:rsidRPr="00055C3E">
        <w:rPr>
          <w:rFonts w:ascii="Univers" w:eastAsia="Open Sans" w:hAnsi="Univers" w:cs="Open Sans"/>
          <w:b/>
          <w:bCs/>
          <w:sz w:val="24"/>
          <w:szCs w:val="24"/>
        </w:rPr>
        <w:t>Regional Engagement Framework</w:t>
      </w:r>
    </w:p>
    <w:p w14:paraId="00000006" w14:textId="77777777" w:rsidR="00480086" w:rsidRPr="00055C3E" w:rsidRDefault="00480086">
      <w:pPr>
        <w:jc w:val="both"/>
        <w:rPr>
          <w:rFonts w:ascii="Univers" w:eastAsia="Open Sans" w:hAnsi="Univers" w:cs="Open Sans"/>
          <w:sz w:val="20"/>
          <w:szCs w:val="20"/>
        </w:rPr>
      </w:pPr>
    </w:p>
    <w:p w14:paraId="00000007" w14:textId="77777777" w:rsidR="00480086" w:rsidRPr="00055C3E" w:rsidRDefault="00000000">
      <w:pPr>
        <w:jc w:val="both"/>
        <w:rPr>
          <w:rFonts w:ascii="Univers" w:eastAsia="Open Sans" w:hAnsi="Univers" w:cs="Open Sans"/>
          <w:sz w:val="20"/>
          <w:szCs w:val="20"/>
        </w:rPr>
      </w:pPr>
      <w:r w:rsidRPr="00055C3E">
        <w:rPr>
          <w:rFonts w:ascii="Univers" w:eastAsia="Open Sans" w:hAnsi="Univers" w:cs="Open Sans"/>
          <w:sz w:val="20"/>
          <w:szCs w:val="20"/>
        </w:rPr>
        <w:t>The Regional Engagement Framework sets out how the World Economic Chamber approaches engagement at the regional level, recognising that cross-border economic activity, while global in scope, is shaped in practice by the distinct regulatory conditions, institutional norms and economic priorities that define individual regions. The Framework provides the structure through which the Chamber's global mandate is translated into engagement that is regionally informed without becoming regionally fragmented.</w:t>
      </w:r>
    </w:p>
    <w:p w14:paraId="00000008" w14:textId="77777777" w:rsidR="00480086" w:rsidRPr="00055C3E" w:rsidRDefault="00480086">
      <w:pPr>
        <w:jc w:val="both"/>
        <w:rPr>
          <w:rFonts w:ascii="Univers" w:eastAsia="Open Sans" w:hAnsi="Univers" w:cs="Open Sans"/>
          <w:sz w:val="20"/>
          <w:szCs w:val="20"/>
        </w:rPr>
      </w:pPr>
    </w:p>
    <w:p w14:paraId="00000009" w14:textId="77777777" w:rsidR="00480086" w:rsidRPr="00055C3E" w:rsidRDefault="00000000">
      <w:pPr>
        <w:jc w:val="both"/>
        <w:rPr>
          <w:rFonts w:ascii="Univers" w:eastAsia="Open Sans" w:hAnsi="Univers" w:cs="Open Sans"/>
          <w:sz w:val="20"/>
          <w:szCs w:val="20"/>
        </w:rPr>
      </w:pPr>
      <w:r w:rsidRPr="00055C3E">
        <w:rPr>
          <w:rFonts w:ascii="Univers" w:eastAsia="Open Sans" w:hAnsi="Univers" w:cs="Open Sans"/>
          <w:sz w:val="20"/>
          <w:szCs w:val="20"/>
        </w:rPr>
        <w:t xml:space="preserve">At its foundation, the Framework requires that regional engagement remain consistent with the Chamber's Charter and founding principles, irrespective of the </w:t>
      </w:r>
      <w:proofErr w:type="gramStart"/>
      <w:r w:rsidRPr="00055C3E">
        <w:rPr>
          <w:rFonts w:ascii="Univers" w:eastAsia="Open Sans" w:hAnsi="Univers" w:cs="Open Sans"/>
          <w:sz w:val="20"/>
          <w:szCs w:val="20"/>
        </w:rPr>
        <w:t>particular economic</w:t>
      </w:r>
      <w:proofErr w:type="gramEnd"/>
      <w:r w:rsidRPr="00055C3E">
        <w:rPr>
          <w:rFonts w:ascii="Univers" w:eastAsia="Open Sans" w:hAnsi="Univers" w:cs="Open Sans"/>
          <w:sz w:val="20"/>
          <w:szCs w:val="20"/>
        </w:rPr>
        <w:t xml:space="preserve"> or institutional context in which it occurs. This consistency is what allows the Chamber to function as a coherent international institution rather than a loose collection of regionally independent activities. Regional engagement is understood as an expression of the Chamber's global mandate, not a departure from it.</w:t>
      </w:r>
    </w:p>
    <w:p w14:paraId="0000000A" w14:textId="77777777" w:rsidR="00480086" w:rsidRPr="00055C3E" w:rsidRDefault="00480086">
      <w:pPr>
        <w:jc w:val="both"/>
        <w:rPr>
          <w:rFonts w:ascii="Univers" w:eastAsia="Open Sans" w:hAnsi="Univers" w:cs="Open Sans"/>
          <w:sz w:val="20"/>
          <w:szCs w:val="20"/>
        </w:rPr>
      </w:pPr>
    </w:p>
    <w:p w14:paraId="0000000B" w14:textId="77777777" w:rsidR="00480086" w:rsidRPr="00055C3E" w:rsidRDefault="00000000">
      <w:pPr>
        <w:jc w:val="both"/>
        <w:rPr>
          <w:rFonts w:ascii="Univers" w:eastAsia="Open Sans" w:hAnsi="Univers" w:cs="Open Sans"/>
          <w:sz w:val="20"/>
          <w:szCs w:val="20"/>
        </w:rPr>
      </w:pPr>
      <w:r w:rsidRPr="00055C3E">
        <w:rPr>
          <w:rFonts w:ascii="Univers" w:eastAsia="Open Sans" w:hAnsi="Univers" w:cs="Open Sans"/>
          <w:sz w:val="20"/>
          <w:szCs w:val="20"/>
        </w:rPr>
        <w:t>The Framework distinguishes between the substance of the Chamber's positions, which remains constant, and their presentation, which may be adapted to reflect regional context, language and institutional custom, consistent with the principles set out in the Cross-Border Engagement Standards. This distinction allows the Chamber to engage credibly with counterparts across a wide range of regulatory and cultural environments without compromising the coherence of its institutional voice.</w:t>
      </w:r>
    </w:p>
    <w:p w14:paraId="0000000C" w14:textId="77777777" w:rsidR="00480086" w:rsidRPr="00055C3E" w:rsidRDefault="00480086">
      <w:pPr>
        <w:jc w:val="both"/>
        <w:rPr>
          <w:rFonts w:ascii="Univers" w:eastAsia="Open Sans" w:hAnsi="Univers" w:cs="Open Sans"/>
          <w:sz w:val="20"/>
          <w:szCs w:val="20"/>
        </w:rPr>
      </w:pPr>
    </w:p>
    <w:p w14:paraId="0000000D" w14:textId="77777777" w:rsidR="00480086" w:rsidRPr="00055C3E" w:rsidRDefault="00000000">
      <w:pPr>
        <w:jc w:val="both"/>
        <w:rPr>
          <w:rFonts w:ascii="Univers" w:eastAsia="Open Sans" w:hAnsi="Univers" w:cs="Open Sans"/>
          <w:sz w:val="20"/>
          <w:szCs w:val="20"/>
        </w:rPr>
      </w:pPr>
      <w:r w:rsidRPr="00055C3E">
        <w:rPr>
          <w:rFonts w:ascii="Univers" w:eastAsia="Open Sans" w:hAnsi="Univers" w:cs="Open Sans"/>
          <w:sz w:val="20"/>
          <w:szCs w:val="20"/>
        </w:rPr>
        <w:t>Regional engagement is coordinated through the Executive Secretariat, which maintains oversight of activity across regions to ensure alignment with the Cross-Jurisdictional Consultation &amp; Coordination Procedures. This coordination function is essential given the scale of regulatory diversity across the jurisdictions in which the Chamber's members and counterparts operate; without it, regionally distinct engagement would risk drifting into inconsistency over time.</w:t>
      </w:r>
    </w:p>
    <w:p w14:paraId="0000000E" w14:textId="77777777" w:rsidR="00480086" w:rsidRPr="00055C3E" w:rsidRDefault="00480086">
      <w:pPr>
        <w:jc w:val="both"/>
        <w:rPr>
          <w:rFonts w:ascii="Univers" w:eastAsia="Open Sans" w:hAnsi="Univers" w:cs="Open Sans"/>
          <w:sz w:val="20"/>
          <w:szCs w:val="20"/>
        </w:rPr>
      </w:pPr>
    </w:p>
    <w:p w14:paraId="0000000F" w14:textId="77777777" w:rsidR="00480086" w:rsidRPr="00055C3E" w:rsidRDefault="00000000">
      <w:pPr>
        <w:jc w:val="both"/>
        <w:rPr>
          <w:rFonts w:ascii="Univers" w:eastAsia="Open Sans" w:hAnsi="Univers" w:cs="Open Sans"/>
          <w:sz w:val="20"/>
          <w:szCs w:val="20"/>
        </w:rPr>
      </w:pPr>
      <w:r w:rsidRPr="00055C3E">
        <w:rPr>
          <w:rFonts w:ascii="Univers" w:eastAsia="Open Sans" w:hAnsi="Univers" w:cs="Open Sans"/>
          <w:sz w:val="20"/>
          <w:szCs w:val="20"/>
        </w:rPr>
        <w:t xml:space="preserve">The Framework also establishes the basis on which the Chamber identifies priorities for deeper regional engagement, having regard to the concentration of member interest, the significance of regional economic developments, and the availability of credible institutional counterparts through which constructive dialogue can be pursued. This ensures that the Chamber's regional engagement develops deliberately, guided by institutional priority rather than opportunity alone, reinforcing the deliberate and disciplined character of the Chamber's global engagement </w:t>
      </w:r>
      <w:proofErr w:type="gramStart"/>
      <w:r w:rsidRPr="00055C3E">
        <w:rPr>
          <w:rFonts w:ascii="Univers" w:eastAsia="Open Sans" w:hAnsi="Univers" w:cs="Open Sans"/>
          <w:sz w:val="20"/>
          <w:szCs w:val="20"/>
        </w:rPr>
        <w:t>model as a whole</w:t>
      </w:r>
      <w:proofErr w:type="gramEnd"/>
      <w:r w:rsidRPr="00055C3E">
        <w:rPr>
          <w:rFonts w:ascii="Univers" w:eastAsia="Open Sans" w:hAnsi="Univers" w:cs="Open Sans"/>
          <w:sz w:val="20"/>
          <w:szCs w:val="20"/>
        </w:rPr>
        <w:t>.</w:t>
      </w:r>
    </w:p>
    <w:p w14:paraId="00000010" w14:textId="77777777" w:rsidR="00480086" w:rsidRPr="00055C3E" w:rsidRDefault="00480086">
      <w:pPr>
        <w:jc w:val="both"/>
        <w:rPr>
          <w:rFonts w:ascii="Univers" w:eastAsia="Open Sans" w:hAnsi="Univers" w:cs="Open Sans"/>
          <w:b/>
          <w:bCs/>
          <w:sz w:val="20"/>
          <w:szCs w:val="20"/>
        </w:rPr>
      </w:pPr>
    </w:p>
    <w:p w14:paraId="00000011" w14:textId="77777777" w:rsidR="00480086" w:rsidRPr="00055C3E" w:rsidRDefault="00000000">
      <w:pPr>
        <w:jc w:val="both"/>
        <w:rPr>
          <w:rFonts w:ascii="Univers" w:eastAsia="Open Sans" w:hAnsi="Univers" w:cs="Open Sans"/>
          <w:b/>
          <w:bCs/>
          <w:sz w:val="24"/>
          <w:szCs w:val="24"/>
        </w:rPr>
      </w:pPr>
      <w:r w:rsidRPr="00055C3E">
        <w:rPr>
          <w:rFonts w:ascii="Univers" w:eastAsia="Open Sans" w:hAnsi="Univers" w:cs="Open Sans"/>
          <w:b/>
          <w:bCs/>
          <w:sz w:val="24"/>
          <w:szCs w:val="24"/>
        </w:rPr>
        <w:t>Emerging Regional Offices</w:t>
      </w:r>
    </w:p>
    <w:p w14:paraId="00000012" w14:textId="77777777" w:rsidR="00480086" w:rsidRPr="00055C3E" w:rsidRDefault="00480086">
      <w:pPr>
        <w:jc w:val="both"/>
        <w:rPr>
          <w:rFonts w:ascii="Univers" w:eastAsia="Open Sans" w:hAnsi="Univers" w:cs="Open Sans"/>
          <w:sz w:val="20"/>
          <w:szCs w:val="20"/>
        </w:rPr>
      </w:pPr>
    </w:p>
    <w:p w14:paraId="00000013" w14:textId="77777777" w:rsidR="00480086" w:rsidRPr="00055C3E" w:rsidRDefault="00000000">
      <w:pPr>
        <w:jc w:val="both"/>
        <w:rPr>
          <w:rFonts w:ascii="Univers" w:eastAsia="Open Sans" w:hAnsi="Univers" w:cs="Open Sans"/>
          <w:sz w:val="20"/>
          <w:szCs w:val="20"/>
        </w:rPr>
      </w:pPr>
      <w:r w:rsidRPr="00055C3E">
        <w:rPr>
          <w:rFonts w:ascii="Univers" w:eastAsia="Open Sans" w:hAnsi="Univers" w:cs="Open Sans"/>
          <w:sz w:val="20"/>
          <w:szCs w:val="20"/>
        </w:rPr>
        <w:t xml:space="preserve">The Chamber's approach to regional presence reflects a deliberate and measured institutional philosophy: that a physical or formalised regional office should be established only where it serves a genuine and sustained engagement need, rather than as a symbol of geographic reach for its own sake. Regional offices are therefore developed progressively, in line with the depth of member activity, institutional relationships and cross-border initiatives that justify a dedicated presence </w:t>
      </w:r>
      <w:proofErr w:type="gramStart"/>
      <w:r w:rsidRPr="00055C3E">
        <w:rPr>
          <w:rFonts w:ascii="Univers" w:eastAsia="Open Sans" w:hAnsi="Univers" w:cs="Open Sans"/>
          <w:sz w:val="20"/>
          <w:szCs w:val="20"/>
        </w:rPr>
        <w:t>in a given</w:t>
      </w:r>
      <w:proofErr w:type="gramEnd"/>
      <w:r w:rsidRPr="00055C3E">
        <w:rPr>
          <w:rFonts w:ascii="Univers" w:eastAsia="Open Sans" w:hAnsi="Univers" w:cs="Open Sans"/>
          <w:sz w:val="20"/>
          <w:szCs w:val="20"/>
        </w:rPr>
        <w:t xml:space="preserve"> region.</w:t>
      </w:r>
    </w:p>
    <w:p w14:paraId="00000014" w14:textId="77777777" w:rsidR="00480086" w:rsidRPr="00055C3E" w:rsidRDefault="00480086">
      <w:pPr>
        <w:jc w:val="both"/>
        <w:rPr>
          <w:rFonts w:ascii="Univers" w:eastAsia="Open Sans" w:hAnsi="Univers" w:cs="Open Sans"/>
          <w:sz w:val="20"/>
          <w:szCs w:val="20"/>
        </w:rPr>
      </w:pPr>
    </w:p>
    <w:p w14:paraId="00000015" w14:textId="77777777" w:rsidR="00480086" w:rsidRPr="00055C3E" w:rsidRDefault="00000000">
      <w:pPr>
        <w:jc w:val="both"/>
        <w:rPr>
          <w:rFonts w:ascii="Univers" w:eastAsia="Open Sans" w:hAnsi="Univers" w:cs="Open Sans"/>
          <w:sz w:val="20"/>
          <w:szCs w:val="20"/>
        </w:rPr>
      </w:pPr>
      <w:r w:rsidRPr="00055C3E">
        <w:rPr>
          <w:rFonts w:ascii="Univers" w:eastAsia="Open Sans" w:hAnsi="Univers" w:cs="Open Sans"/>
          <w:sz w:val="20"/>
          <w:szCs w:val="20"/>
        </w:rPr>
        <w:lastRenderedPageBreak/>
        <w:t>The process by which a regional office is established begins with sustained engagement conducted through the Chamber's existing coordination channels, allowing the Executive Secretariat and Executive Leadership to assess whether the volume and nature of activity in a region warrant a more formalised institutional footprint. This assessment considers factors including the concentration of member organisations, the depth of regulatory and government relationships already developed, and the strategic significance of the region to the Chamber's broader mandate.</w:t>
      </w:r>
    </w:p>
    <w:p w14:paraId="00000016" w14:textId="77777777" w:rsidR="00480086" w:rsidRPr="00055C3E" w:rsidRDefault="00480086">
      <w:pPr>
        <w:jc w:val="both"/>
        <w:rPr>
          <w:rFonts w:ascii="Univers" w:eastAsia="Open Sans" w:hAnsi="Univers" w:cs="Open Sans"/>
          <w:sz w:val="20"/>
          <w:szCs w:val="20"/>
        </w:rPr>
      </w:pPr>
    </w:p>
    <w:p w14:paraId="00000017" w14:textId="77777777" w:rsidR="00480086" w:rsidRPr="00055C3E" w:rsidRDefault="00000000">
      <w:pPr>
        <w:jc w:val="both"/>
        <w:rPr>
          <w:rFonts w:ascii="Univers" w:eastAsia="Open Sans" w:hAnsi="Univers" w:cs="Open Sans"/>
          <w:sz w:val="20"/>
          <w:szCs w:val="20"/>
        </w:rPr>
      </w:pPr>
      <w:r w:rsidRPr="00055C3E">
        <w:rPr>
          <w:rFonts w:ascii="Univers" w:eastAsia="Open Sans" w:hAnsi="Univers" w:cs="Open Sans"/>
          <w:sz w:val="20"/>
          <w:szCs w:val="20"/>
        </w:rPr>
        <w:t>Where a regional office is established, it operates as an extension of the Chamber's central governance architecture rather than as an independent entity. This ensures that regional offices remain subject to the same standards of neutrality, documentation and accountability that apply across the Chamber's operations, consistent with the Governance Architecture &amp; Institutional Roles and the Oversight Responsibilities &amp; Accountability Standards. Regional offices report through defined lines to Executive Leadership, preserving institutional coherence even as regional presence expands.</w:t>
      </w:r>
    </w:p>
    <w:p w14:paraId="00000018" w14:textId="77777777" w:rsidR="00480086" w:rsidRPr="00055C3E" w:rsidRDefault="00480086">
      <w:pPr>
        <w:jc w:val="both"/>
        <w:rPr>
          <w:rFonts w:ascii="Univers" w:eastAsia="Open Sans" w:hAnsi="Univers" w:cs="Open Sans"/>
          <w:sz w:val="20"/>
          <w:szCs w:val="20"/>
        </w:rPr>
      </w:pPr>
    </w:p>
    <w:p w14:paraId="00000019" w14:textId="77777777" w:rsidR="00480086" w:rsidRPr="00055C3E" w:rsidRDefault="00000000">
      <w:pPr>
        <w:jc w:val="both"/>
        <w:rPr>
          <w:rFonts w:ascii="Univers" w:eastAsia="Open Sans" w:hAnsi="Univers" w:cs="Open Sans"/>
          <w:sz w:val="20"/>
          <w:szCs w:val="20"/>
        </w:rPr>
      </w:pPr>
      <w:r w:rsidRPr="00055C3E">
        <w:rPr>
          <w:rFonts w:ascii="Univers" w:eastAsia="Open Sans" w:hAnsi="Univers" w:cs="Open Sans"/>
          <w:sz w:val="20"/>
          <w:szCs w:val="20"/>
        </w:rPr>
        <w:t xml:space="preserve">Regional offices are intended to strengthen the Chamber's capacity for sustained, on-the-ground engagement with members, government bodies and institutional counterparts </w:t>
      </w:r>
      <w:proofErr w:type="gramStart"/>
      <w:r w:rsidRPr="00055C3E">
        <w:rPr>
          <w:rFonts w:ascii="Univers" w:eastAsia="Open Sans" w:hAnsi="Univers" w:cs="Open Sans"/>
          <w:sz w:val="20"/>
          <w:szCs w:val="20"/>
        </w:rPr>
        <w:t>in a given</w:t>
      </w:r>
      <w:proofErr w:type="gramEnd"/>
      <w:r w:rsidRPr="00055C3E">
        <w:rPr>
          <w:rFonts w:ascii="Univers" w:eastAsia="Open Sans" w:hAnsi="Univers" w:cs="Open Sans"/>
          <w:sz w:val="20"/>
          <w:szCs w:val="20"/>
        </w:rPr>
        <w:t xml:space="preserve"> region, supporting more responsive coordination of programs, dialogue and cross-border initiatives than can be achieved through central coordination alone. Their development is treated as an institutional undertaking requiring careful groundwork, not an administrative formality.</w:t>
      </w:r>
    </w:p>
    <w:p w14:paraId="0000001A" w14:textId="77777777" w:rsidR="00480086" w:rsidRPr="00055C3E" w:rsidRDefault="00480086">
      <w:pPr>
        <w:jc w:val="both"/>
        <w:rPr>
          <w:rFonts w:ascii="Univers" w:eastAsia="Open Sans" w:hAnsi="Univers" w:cs="Open Sans"/>
          <w:sz w:val="20"/>
          <w:szCs w:val="20"/>
        </w:rPr>
      </w:pPr>
    </w:p>
    <w:p w14:paraId="0000001B" w14:textId="77777777" w:rsidR="00480086" w:rsidRPr="00055C3E" w:rsidRDefault="00000000">
      <w:pPr>
        <w:jc w:val="both"/>
        <w:rPr>
          <w:rFonts w:ascii="Univers" w:eastAsia="Open Sans" w:hAnsi="Univers" w:cs="Open Sans"/>
          <w:sz w:val="20"/>
          <w:szCs w:val="20"/>
        </w:rPr>
      </w:pPr>
      <w:r w:rsidRPr="00055C3E">
        <w:rPr>
          <w:rFonts w:ascii="Univers" w:eastAsia="Open Sans" w:hAnsi="Univers" w:cs="Open Sans"/>
          <w:sz w:val="20"/>
          <w:szCs w:val="20"/>
        </w:rPr>
        <w:t>The Chamber views the progressive development of its regional footprint as consistent with its broader institutional discipline: presence is established where it is warranted and sustainable, and expanded in a manner that preserves, rather than dilutes, the standards of governance, neutrality and accountability that define the Chamber's work as a whole.</w:t>
      </w:r>
    </w:p>
    <w:p w14:paraId="0000001C" w14:textId="77777777" w:rsidR="00480086" w:rsidRPr="00055C3E" w:rsidRDefault="00480086">
      <w:pPr>
        <w:jc w:val="both"/>
        <w:rPr>
          <w:rFonts w:ascii="Univers" w:eastAsia="Open Sans" w:hAnsi="Univers" w:cs="Open Sans"/>
          <w:b/>
          <w:bCs/>
          <w:sz w:val="20"/>
          <w:szCs w:val="20"/>
        </w:rPr>
      </w:pPr>
    </w:p>
    <w:p w14:paraId="0000001D" w14:textId="77777777" w:rsidR="00480086" w:rsidRPr="00055C3E" w:rsidRDefault="00000000">
      <w:pPr>
        <w:jc w:val="both"/>
        <w:rPr>
          <w:rFonts w:ascii="Univers" w:eastAsia="Open Sans" w:hAnsi="Univers" w:cs="Open Sans"/>
          <w:b/>
          <w:bCs/>
          <w:sz w:val="24"/>
          <w:szCs w:val="24"/>
        </w:rPr>
      </w:pPr>
      <w:r w:rsidRPr="00055C3E">
        <w:rPr>
          <w:rFonts w:ascii="Univers" w:eastAsia="Open Sans" w:hAnsi="Univers" w:cs="Open Sans"/>
          <w:b/>
          <w:bCs/>
          <w:sz w:val="24"/>
          <w:szCs w:val="24"/>
        </w:rPr>
        <w:t>Cross</w:t>
      </w:r>
      <w:r w:rsidRPr="00055C3E">
        <w:rPr>
          <w:rFonts w:ascii="Cambria Math" w:eastAsia="Open Sans" w:hAnsi="Cambria Math" w:cs="Cambria Math"/>
          <w:b/>
          <w:bCs/>
          <w:sz w:val="24"/>
          <w:szCs w:val="24"/>
        </w:rPr>
        <w:t>‑</w:t>
      </w:r>
      <w:r w:rsidRPr="00055C3E">
        <w:rPr>
          <w:rFonts w:ascii="Univers" w:eastAsia="Open Sans" w:hAnsi="Univers" w:cs="Open Sans"/>
          <w:b/>
          <w:bCs/>
          <w:sz w:val="24"/>
          <w:szCs w:val="24"/>
        </w:rPr>
        <w:t>Border Cooperation Initiatives</w:t>
      </w:r>
    </w:p>
    <w:p w14:paraId="0000001E" w14:textId="77777777" w:rsidR="00480086" w:rsidRPr="00055C3E" w:rsidRDefault="00480086">
      <w:pPr>
        <w:jc w:val="both"/>
        <w:rPr>
          <w:rFonts w:ascii="Univers" w:eastAsia="Open Sans" w:hAnsi="Univers" w:cs="Open Sans"/>
          <w:sz w:val="20"/>
          <w:szCs w:val="20"/>
        </w:rPr>
      </w:pPr>
    </w:p>
    <w:p w14:paraId="0000001F" w14:textId="77777777" w:rsidR="00480086" w:rsidRPr="00055C3E" w:rsidRDefault="00000000">
      <w:pPr>
        <w:jc w:val="both"/>
        <w:rPr>
          <w:rFonts w:ascii="Univers" w:eastAsia="Open Sans" w:hAnsi="Univers" w:cs="Open Sans"/>
          <w:sz w:val="20"/>
          <w:szCs w:val="20"/>
        </w:rPr>
      </w:pPr>
      <w:r w:rsidRPr="00055C3E">
        <w:rPr>
          <w:rFonts w:ascii="Univers" w:eastAsia="Open Sans" w:hAnsi="Univers" w:cs="Open Sans"/>
          <w:sz w:val="20"/>
          <w:szCs w:val="20"/>
        </w:rPr>
        <w:t>Cross-Border Cooperation Initiatives represent the practical expression of the Chamber's mandate to strengthen the conditions that support responsible international economic activity. These initiatives bring together members, government bodies and institutional counterparts around specific areas of cross-border economic significance, providing a structured setting in which cooperation can be pursued with the seriousness the Chamber's mandate requires.</w:t>
      </w:r>
    </w:p>
    <w:p w14:paraId="00000020" w14:textId="77777777" w:rsidR="00480086" w:rsidRPr="00055C3E" w:rsidRDefault="00480086">
      <w:pPr>
        <w:jc w:val="both"/>
        <w:rPr>
          <w:rFonts w:ascii="Univers" w:eastAsia="Open Sans" w:hAnsi="Univers" w:cs="Open Sans"/>
          <w:sz w:val="20"/>
          <w:szCs w:val="20"/>
        </w:rPr>
      </w:pPr>
    </w:p>
    <w:p w14:paraId="00000021" w14:textId="77777777" w:rsidR="00480086" w:rsidRPr="00055C3E" w:rsidRDefault="00000000">
      <w:pPr>
        <w:jc w:val="both"/>
        <w:rPr>
          <w:rFonts w:ascii="Univers" w:eastAsia="Open Sans" w:hAnsi="Univers" w:cs="Open Sans"/>
          <w:sz w:val="20"/>
          <w:szCs w:val="20"/>
        </w:rPr>
      </w:pPr>
      <w:r w:rsidRPr="00055C3E">
        <w:rPr>
          <w:rFonts w:ascii="Univers" w:eastAsia="Open Sans" w:hAnsi="Univers" w:cs="Open Sans"/>
          <w:sz w:val="20"/>
          <w:szCs w:val="20"/>
        </w:rPr>
        <w:t>Initiatives are developed in response to identified needs within the Chamber's areas of focus, including trade facilitation, investment and market access, sustainable development and infrastructure. Rather than pursuing cooperation in the abstract, each initiative is structured around a defined objective, a clear set of participating counterparts and a mechanism for measuring whether the cooperation achieves its intended purpose. This disciplined approach reflects the Chamber's broader institutional philosophy that cooperation without structure tends to produce dialogue without outcome.</w:t>
      </w:r>
    </w:p>
    <w:p w14:paraId="00000022" w14:textId="77777777" w:rsidR="00480086" w:rsidRPr="00055C3E" w:rsidRDefault="00480086">
      <w:pPr>
        <w:jc w:val="both"/>
        <w:rPr>
          <w:rFonts w:ascii="Univers" w:eastAsia="Open Sans" w:hAnsi="Univers" w:cs="Open Sans"/>
          <w:sz w:val="20"/>
          <w:szCs w:val="20"/>
        </w:rPr>
      </w:pPr>
    </w:p>
    <w:p w14:paraId="00000023" w14:textId="77777777" w:rsidR="00480086" w:rsidRPr="00055C3E" w:rsidRDefault="00000000">
      <w:pPr>
        <w:jc w:val="both"/>
        <w:rPr>
          <w:rFonts w:ascii="Univers" w:eastAsia="Open Sans" w:hAnsi="Univers" w:cs="Open Sans"/>
          <w:sz w:val="20"/>
          <w:szCs w:val="20"/>
        </w:rPr>
      </w:pPr>
      <w:r w:rsidRPr="00055C3E">
        <w:rPr>
          <w:rFonts w:ascii="Univers" w:eastAsia="Open Sans" w:hAnsi="Univers" w:cs="Open Sans"/>
          <w:sz w:val="20"/>
          <w:szCs w:val="20"/>
        </w:rPr>
        <w:t xml:space="preserve">The development of a cross-border cooperation initiative typically begins with the identification of a shared interest among members or counterparts operating in different jurisdictions, followed by an assessment, coordinated through the Executive Secretariat, of the regulatory and institutional considerations relevant to each jurisdiction involved, consistent with the Cross-Jurisdictional Consultation &amp; Coordination Procedures. This groundwork ensures that initiatives are designed with an accurate understanding of the environments in which they will operate, rather than </w:t>
      </w:r>
      <w:proofErr w:type="gramStart"/>
      <w:r w:rsidRPr="00055C3E">
        <w:rPr>
          <w:rFonts w:ascii="Univers" w:eastAsia="Open Sans" w:hAnsi="Univers" w:cs="Open Sans"/>
          <w:sz w:val="20"/>
          <w:szCs w:val="20"/>
        </w:rPr>
        <w:t>assuming that</w:t>
      </w:r>
      <w:proofErr w:type="gramEnd"/>
      <w:r w:rsidRPr="00055C3E">
        <w:rPr>
          <w:rFonts w:ascii="Univers" w:eastAsia="Open Sans" w:hAnsi="Univers" w:cs="Open Sans"/>
          <w:sz w:val="20"/>
          <w:szCs w:val="20"/>
        </w:rPr>
        <w:t xml:space="preserve"> an approach suited to one jurisdiction will translate directly to another.</w:t>
      </w:r>
    </w:p>
    <w:p w14:paraId="00000024" w14:textId="77777777" w:rsidR="00480086" w:rsidRPr="00055C3E" w:rsidRDefault="00480086">
      <w:pPr>
        <w:jc w:val="both"/>
        <w:rPr>
          <w:rFonts w:ascii="Univers" w:eastAsia="Open Sans" w:hAnsi="Univers" w:cs="Open Sans"/>
          <w:sz w:val="20"/>
          <w:szCs w:val="20"/>
        </w:rPr>
      </w:pPr>
    </w:p>
    <w:p w14:paraId="00000025" w14:textId="77777777" w:rsidR="00480086" w:rsidRPr="00055C3E" w:rsidRDefault="00000000">
      <w:pPr>
        <w:jc w:val="both"/>
        <w:rPr>
          <w:rFonts w:ascii="Univers" w:eastAsia="Open Sans" w:hAnsi="Univers" w:cs="Open Sans"/>
          <w:sz w:val="20"/>
          <w:szCs w:val="20"/>
        </w:rPr>
      </w:pPr>
      <w:r w:rsidRPr="00055C3E">
        <w:rPr>
          <w:rFonts w:ascii="Univers" w:eastAsia="Open Sans" w:hAnsi="Univers" w:cs="Open Sans"/>
          <w:sz w:val="20"/>
          <w:szCs w:val="20"/>
        </w:rPr>
        <w:t xml:space="preserve">Participation in cross-border cooperation initiatives is open to members whose activities and interests align with a given initiative's objectives, and, where appropriate, to government bodies and institutional counterparts whose participation strengthens the initiative's relevance and credibility. The Chamber's role in these initiatives is to provide the institutional structure, coordination and neutrality that allow genuinely cross-border cooperation to proceed in a </w:t>
      </w:r>
      <w:r w:rsidRPr="00055C3E">
        <w:rPr>
          <w:rFonts w:ascii="Univers" w:eastAsia="Open Sans" w:hAnsi="Univers" w:cs="Open Sans"/>
          <w:sz w:val="20"/>
          <w:szCs w:val="20"/>
        </w:rPr>
        <w:lastRenderedPageBreak/>
        <w:t>disciplined manner, rather than to direct outcomes that properly belong to the participating organisations themselves.</w:t>
      </w:r>
    </w:p>
    <w:p w14:paraId="00000026" w14:textId="77777777" w:rsidR="00480086" w:rsidRPr="00055C3E" w:rsidRDefault="00480086">
      <w:pPr>
        <w:jc w:val="both"/>
        <w:rPr>
          <w:rFonts w:ascii="Univers" w:eastAsia="Open Sans" w:hAnsi="Univers" w:cs="Open Sans"/>
          <w:sz w:val="20"/>
          <w:szCs w:val="20"/>
        </w:rPr>
      </w:pPr>
    </w:p>
    <w:p w14:paraId="00000027" w14:textId="77777777" w:rsidR="00480086" w:rsidRPr="00055C3E" w:rsidRDefault="00000000">
      <w:pPr>
        <w:jc w:val="both"/>
        <w:rPr>
          <w:rFonts w:ascii="Univers" w:eastAsia="Open Sans" w:hAnsi="Univers" w:cs="Open Sans"/>
          <w:sz w:val="20"/>
          <w:szCs w:val="20"/>
        </w:rPr>
      </w:pPr>
      <w:r w:rsidRPr="00055C3E">
        <w:rPr>
          <w:rFonts w:ascii="Univers" w:eastAsia="Open Sans" w:hAnsi="Univers" w:cs="Open Sans"/>
          <w:sz w:val="20"/>
          <w:szCs w:val="20"/>
        </w:rPr>
        <w:t>Cross-Border Cooperation Initiatives are documented and reviewed in accordance with the Chamber's governance standards, ensuring that their progress and outcomes inform the Chamber's broader understanding of how cooperation across jurisdictions can be most effectively structured and sustained.</w:t>
      </w:r>
    </w:p>
    <w:p w14:paraId="00000028" w14:textId="77777777" w:rsidR="00480086" w:rsidRPr="00055C3E" w:rsidRDefault="00480086">
      <w:pPr>
        <w:jc w:val="both"/>
        <w:rPr>
          <w:rFonts w:ascii="Univers" w:eastAsia="Open Sans" w:hAnsi="Univers" w:cs="Open Sans"/>
          <w:b/>
          <w:bCs/>
          <w:sz w:val="20"/>
          <w:szCs w:val="20"/>
        </w:rPr>
      </w:pPr>
    </w:p>
    <w:p w14:paraId="00000029" w14:textId="77777777" w:rsidR="00480086" w:rsidRPr="00055C3E" w:rsidRDefault="00000000">
      <w:pPr>
        <w:jc w:val="both"/>
        <w:rPr>
          <w:rFonts w:ascii="Univers" w:eastAsia="Open Sans" w:hAnsi="Univers" w:cs="Open Sans"/>
          <w:b/>
          <w:bCs/>
          <w:sz w:val="24"/>
          <w:szCs w:val="24"/>
        </w:rPr>
      </w:pPr>
      <w:r w:rsidRPr="00055C3E">
        <w:rPr>
          <w:rFonts w:ascii="Univers" w:eastAsia="Open Sans" w:hAnsi="Univers" w:cs="Open Sans"/>
          <w:b/>
          <w:bCs/>
          <w:sz w:val="24"/>
          <w:szCs w:val="24"/>
        </w:rPr>
        <w:t>International Liaison &amp; Government Relations</w:t>
      </w:r>
    </w:p>
    <w:p w14:paraId="0000002A" w14:textId="77777777" w:rsidR="00480086" w:rsidRPr="00055C3E" w:rsidRDefault="00480086">
      <w:pPr>
        <w:jc w:val="both"/>
        <w:rPr>
          <w:rFonts w:ascii="Univers" w:eastAsia="Open Sans" w:hAnsi="Univers" w:cs="Open Sans"/>
          <w:sz w:val="20"/>
          <w:szCs w:val="20"/>
        </w:rPr>
      </w:pPr>
    </w:p>
    <w:p w14:paraId="0000002B" w14:textId="77777777" w:rsidR="00480086" w:rsidRPr="00055C3E" w:rsidRDefault="00000000">
      <w:pPr>
        <w:jc w:val="both"/>
        <w:rPr>
          <w:rFonts w:ascii="Univers" w:eastAsia="Open Sans" w:hAnsi="Univers" w:cs="Open Sans"/>
          <w:sz w:val="20"/>
          <w:szCs w:val="20"/>
        </w:rPr>
      </w:pPr>
      <w:r w:rsidRPr="00055C3E">
        <w:rPr>
          <w:rFonts w:ascii="Univers" w:eastAsia="Open Sans" w:hAnsi="Univers" w:cs="Open Sans"/>
          <w:sz w:val="20"/>
          <w:szCs w:val="20"/>
        </w:rPr>
        <w:t>International Liaison &amp; Government Relations governs how the World Economic Chamber engages with governments and public institutions on matters connected to cross-border economic policy, regulatory dialogue and international cooperation. This function is distinct from, but closely coordinated with, the Chamber's regulatory engagement standards, reflecting the broader and more institutional character of government relations as compared with discrete regulatory interactions.</w:t>
      </w:r>
    </w:p>
    <w:p w14:paraId="0000002C" w14:textId="77777777" w:rsidR="00480086" w:rsidRPr="00055C3E" w:rsidRDefault="00480086">
      <w:pPr>
        <w:jc w:val="both"/>
        <w:rPr>
          <w:rFonts w:ascii="Univers" w:eastAsia="Open Sans" w:hAnsi="Univers" w:cs="Open Sans"/>
          <w:sz w:val="20"/>
          <w:szCs w:val="20"/>
        </w:rPr>
      </w:pPr>
    </w:p>
    <w:p w14:paraId="0000002D" w14:textId="77777777" w:rsidR="00480086" w:rsidRPr="00055C3E" w:rsidRDefault="00000000">
      <w:pPr>
        <w:jc w:val="both"/>
        <w:rPr>
          <w:rFonts w:ascii="Univers" w:eastAsia="Open Sans" w:hAnsi="Univers" w:cs="Open Sans"/>
          <w:sz w:val="20"/>
          <w:szCs w:val="20"/>
        </w:rPr>
      </w:pPr>
      <w:r w:rsidRPr="00055C3E">
        <w:rPr>
          <w:rFonts w:ascii="Univers" w:eastAsia="Open Sans" w:hAnsi="Univers" w:cs="Open Sans"/>
          <w:sz w:val="20"/>
          <w:szCs w:val="20"/>
        </w:rPr>
        <w:t xml:space="preserve">The Chamber's approach to government relations is grounded in its commitment to institutional neutrality. Engagement with any government is conducted without regard to political </w:t>
      </w:r>
      <w:proofErr w:type="gramStart"/>
      <w:r w:rsidRPr="00055C3E">
        <w:rPr>
          <w:rFonts w:ascii="Univers" w:eastAsia="Open Sans" w:hAnsi="Univers" w:cs="Open Sans"/>
          <w:sz w:val="20"/>
          <w:szCs w:val="20"/>
        </w:rPr>
        <w:t>alignment, and</w:t>
      </w:r>
      <w:proofErr w:type="gramEnd"/>
      <w:r w:rsidRPr="00055C3E">
        <w:rPr>
          <w:rFonts w:ascii="Univers" w:eastAsia="Open Sans" w:hAnsi="Univers" w:cs="Open Sans"/>
          <w:sz w:val="20"/>
          <w:szCs w:val="20"/>
        </w:rPr>
        <w:t xml:space="preserve"> is structured to support the Chamber's mandate of strengthening responsible cross-border economic activity rather than advancing the interests of any </w:t>
      </w:r>
      <w:proofErr w:type="gramStart"/>
      <w:r w:rsidRPr="00055C3E">
        <w:rPr>
          <w:rFonts w:ascii="Univers" w:eastAsia="Open Sans" w:hAnsi="Univers" w:cs="Open Sans"/>
          <w:sz w:val="20"/>
          <w:szCs w:val="20"/>
        </w:rPr>
        <w:t>particular state</w:t>
      </w:r>
      <w:proofErr w:type="gramEnd"/>
      <w:r w:rsidRPr="00055C3E">
        <w:rPr>
          <w:rFonts w:ascii="Univers" w:eastAsia="Open Sans" w:hAnsi="Univers" w:cs="Open Sans"/>
          <w:sz w:val="20"/>
          <w:szCs w:val="20"/>
        </w:rPr>
        <w:t>, bloc or political position. This neutrality is what allows the Chamber to maintain credible relationships with government bodies across a wide range of political and economic systems simultaneously.</w:t>
      </w:r>
    </w:p>
    <w:p w14:paraId="0000002E" w14:textId="77777777" w:rsidR="00480086" w:rsidRPr="00055C3E" w:rsidRDefault="00480086">
      <w:pPr>
        <w:jc w:val="both"/>
        <w:rPr>
          <w:rFonts w:ascii="Univers" w:eastAsia="Open Sans" w:hAnsi="Univers" w:cs="Open Sans"/>
          <w:sz w:val="20"/>
          <w:szCs w:val="20"/>
        </w:rPr>
      </w:pPr>
    </w:p>
    <w:p w14:paraId="0000002F" w14:textId="77777777" w:rsidR="00480086" w:rsidRPr="00055C3E" w:rsidRDefault="00000000">
      <w:pPr>
        <w:jc w:val="both"/>
        <w:rPr>
          <w:rFonts w:ascii="Univers" w:eastAsia="Open Sans" w:hAnsi="Univers" w:cs="Open Sans"/>
          <w:sz w:val="20"/>
          <w:szCs w:val="20"/>
        </w:rPr>
      </w:pPr>
      <w:r w:rsidRPr="00055C3E">
        <w:rPr>
          <w:rFonts w:ascii="Univers" w:eastAsia="Open Sans" w:hAnsi="Univers" w:cs="Open Sans"/>
          <w:sz w:val="20"/>
          <w:szCs w:val="20"/>
        </w:rPr>
        <w:t>Liaison with government bodies is conducted by individuals authorised under the Chamber's governance architecture, consistent with the standards set out in the International Coordination &amp; Liaison Procedures. This ensures that government relationships, which often develop over extended periods and carry institutional significance beyond any single interaction, are built methodically and recorded in a manner that preserves institutional knowledge independent of any individual's continued involvement.</w:t>
      </w:r>
    </w:p>
    <w:p w14:paraId="00000030" w14:textId="77777777" w:rsidR="00480086" w:rsidRPr="00055C3E" w:rsidRDefault="00480086">
      <w:pPr>
        <w:jc w:val="both"/>
        <w:rPr>
          <w:rFonts w:ascii="Univers" w:eastAsia="Open Sans" w:hAnsi="Univers" w:cs="Open Sans"/>
          <w:sz w:val="20"/>
          <w:szCs w:val="20"/>
        </w:rPr>
      </w:pPr>
    </w:p>
    <w:p w14:paraId="00000031" w14:textId="77777777" w:rsidR="00480086" w:rsidRPr="00055C3E" w:rsidRDefault="00000000">
      <w:pPr>
        <w:jc w:val="both"/>
        <w:rPr>
          <w:rFonts w:ascii="Univers" w:eastAsia="Open Sans" w:hAnsi="Univers" w:cs="Open Sans"/>
          <w:sz w:val="20"/>
          <w:szCs w:val="20"/>
        </w:rPr>
      </w:pPr>
      <w:r w:rsidRPr="00055C3E">
        <w:rPr>
          <w:rFonts w:ascii="Univers" w:eastAsia="Open Sans" w:hAnsi="Univers" w:cs="Open Sans"/>
          <w:sz w:val="20"/>
          <w:szCs w:val="20"/>
        </w:rPr>
        <w:t>Government relations activity spans a range of engagement types, including participation in policy dialogue relevant to cross-border commerce, briefings on matters within the Chamber's areas of research and intelligence, and structured consultation where government bodies seek the perspective of an institution engaged with multinational corporations, NGOs and cross-border initiatives. In each case, the Chamber's contribution is grounded in its institutional mandate and the analytical work underpinning its policy positions, rather than in advocacy on behalf of individual members.</w:t>
      </w:r>
    </w:p>
    <w:p w14:paraId="00000032" w14:textId="77777777" w:rsidR="00480086" w:rsidRPr="00055C3E" w:rsidRDefault="00480086">
      <w:pPr>
        <w:jc w:val="both"/>
        <w:rPr>
          <w:rFonts w:ascii="Univers" w:eastAsia="Open Sans" w:hAnsi="Univers" w:cs="Open Sans"/>
          <w:sz w:val="20"/>
          <w:szCs w:val="20"/>
        </w:rPr>
      </w:pPr>
    </w:p>
    <w:p w14:paraId="00000033" w14:textId="77777777" w:rsidR="00480086" w:rsidRPr="00055C3E" w:rsidRDefault="00000000">
      <w:pPr>
        <w:jc w:val="both"/>
        <w:rPr>
          <w:rFonts w:ascii="Univers" w:eastAsia="Open Sans" w:hAnsi="Univers" w:cs="Open Sans"/>
          <w:sz w:val="20"/>
          <w:szCs w:val="20"/>
        </w:rPr>
      </w:pPr>
      <w:r w:rsidRPr="00055C3E">
        <w:rPr>
          <w:rFonts w:ascii="Univers" w:eastAsia="Open Sans" w:hAnsi="Univers" w:cs="Open Sans"/>
          <w:sz w:val="20"/>
          <w:szCs w:val="20"/>
        </w:rPr>
        <w:t>Government relations activity is documented in accordance with the Record-Keeping &amp; Documentation Standards, and material developments are reported through the Chamber's coordination and escalation procedures. This documentation ensures that the Chamber's government relationships are supported by an accurate institutional record, reinforcing the consistency and reliability that government counterparts are entitled to expect from an organisation engaged in cross-border economic matters.</w:t>
      </w:r>
    </w:p>
    <w:p w14:paraId="00000034" w14:textId="77777777" w:rsidR="00480086" w:rsidRPr="00055C3E" w:rsidRDefault="00480086">
      <w:pPr>
        <w:jc w:val="both"/>
        <w:rPr>
          <w:rFonts w:ascii="Univers" w:eastAsia="Open Sans" w:hAnsi="Univers" w:cs="Open Sans"/>
          <w:b/>
          <w:bCs/>
          <w:sz w:val="20"/>
          <w:szCs w:val="20"/>
        </w:rPr>
      </w:pPr>
    </w:p>
    <w:p w14:paraId="00000035" w14:textId="77777777" w:rsidR="00480086" w:rsidRPr="00055C3E" w:rsidRDefault="00000000">
      <w:pPr>
        <w:jc w:val="both"/>
        <w:rPr>
          <w:rFonts w:ascii="Univers" w:eastAsia="Open Sans" w:hAnsi="Univers" w:cs="Open Sans"/>
          <w:b/>
          <w:bCs/>
          <w:sz w:val="24"/>
          <w:szCs w:val="24"/>
        </w:rPr>
      </w:pPr>
      <w:r w:rsidRPr="00055C3E">
        <w:rPr>
          <w:rFonts w:ascii="Univers" w:eastAsia="Open Sans" w:hAnsi="Univers" w:cs="Open Sans"/>
          <w:b/>
          <w:bCs/>
          <w:sz w:val="24"/>
          <w:szCs w:val="24"/>
        </w:rPr>
        <w:t>Diplomatic &amp; Multilateral Engagement Channels</w:t>
      </w:r>
    </w:p>
    <w:p w14:paraId="00000036" w14:textId="77777777" w:rsidR="00480086" w:rsidRPr="00055C3E" w:rsidRDefault="00480086">
      <w:pPr>
        <w:jc w:val="both"/>
        <w:rPr>
          <w:rFonts w:ascii="Univers" w:eastAsia="Open Sans" w:hAnsi="Univers" w:cs="Open Sans"/>
          <w:sz w:val="20"/>
          <w:szCs w:val="20"/>
        </w:rPr>
      </w:pPr>
    </w:p>
    <w:p w14:paraId="00000037" w14:textId="77777777" w:rsidR="00480086" w:rsidRPr="00055C3E" w:rsidRDefault="00000000">
      <w:pPr>
        <w:jc w:val="both"/>
        <w:rPr>
          <w:rFonts w:ascii="Univers" w:eastAsia="Open Sans" w:hAnsi="Univers" w:cs="Open Sans"/>
          <w:sz w:val="20"/>
          <w:szCs w:val="20"/>
        </w:rPr>
      </w:pPr>
      <w:r w:rsidRPr="00055C3E">
        <w:rPr>
          <w:rFonts w:ascii="Univers" w:eastAsia="Open Sans" w:hAnsi="Univers" w:cs="Open Sans"/>
          <w:sz w:val="20"/>
          <w:szCs w:val="20"/>
        </w:rPr>
        <w:t>Diplomatic &amp; Multilateral Engagement Channels describe how the World Economic Chamber engages with multilateral institutions, diplomatic missions and international bodies whose mandates intersect with cross-border economic cooperation. These channels represent the most institutionally sensitive dimension of the Chamber's external engagement, given the diplomatic conventions and multilateral protocols that govern interaction with organisations of this kind.</w:t>
      </w:r>
    </w:p>
    <w:p w14:paraId="00000038" w14:textId="77777777" w:rsidR="00480086" w:rsidRPr="00055C3E" w:rsidRDefault="00480086">
      <w:pPr>
        <w:jc w:val="both"/>
        <w:rPr>
          <w:rFonts w:ascii="Univers" w:eastAsia="Open Sans" w:hAnsi="Univers" w:cs="Open Sans"/>
          <w:sz w:val="20"/>
          <w:szCs w:val="20"/>
        </w:rPr>
      </w:pPr>
    </w:p>
    <w:p w14:paraId="00000039" w14:textId="77777777" w:rsidR="00480086" w:rsidRPr="00055C3E" w:rsidRDefault="00000000">
      <w:pPr>
        <w:jc w:val="both"/>
        <w:rPr>
          <w:rFonts w:ascii="Univers" w:eastAsia="Open Sans" w:hAnsi="Univers" w:cs="Open Sans"/>
          <w:sz w:val="20"/>
          <w:szCs w:val="20"/>
        </w:rPr>
      </w:pPr>
      <w:r w:rsidRPr="00055C3E">
        <w:rPr>
          <w:rFonts w:ascii="Univers" w:eastAsia="Open Sans" w:hAnsi="Univers" w:cs="Open Sans"/>
          <w:sz w:val="20"/>
          <w:szCs w:val="20"/>
        </w:rPr>
        <w:lastRenderedPageBreak/>
        <w:t xml:space="preserve">Engagement through diplomatic and multilateral channels is conducted with particular attention to institutional neutrality and jurisdictional respect. The Chamber's role in these settings is to contribute the perspective of an institution engaged with multinational corporations, government bodies and NGOs on matters of cross-border economic significance, rather than to position itself as an advocate for any single national, regional or sectoral interest. This distinction is fundamental to the Chamber's credibility within multilateral settings, where institutions are routinely assessed </w:t>
      </w:r>
      <w:proofErr w:type="gramStart"/>
      <w:r w:rsidRPr="00055C3E">
        <w:rPr>
          <w:rFonts w:ascii="Univers" w:eastAsia="Open Sans" w:hAnsi="Univers" w:cs="Open Sans"/>
          <w:sz w:val="20"/>
          <w:szCs w:val="20"/>
        </w:rPr>
        <w:t>on the basis of</w:t>
      </w:r>
      <w:proofErr w:type="gramEnd"/>
      <w:r w:rsidRPr="00055C3E">
        <w:rPr>
          <w:rFonts w:ascii="Univers" w:eastAsia="Open Sans" w:hAnsi="Univers" w:cs="Open Sans"/>
          <w:sz w:val="20"/>
          <w:szCs w:val="20"/>
        </w:rPr>
        <w:t xml:space="preserve"> their independence.</w:t>
      </w:r>
    </w:p>
    <w:p w14:paraId="0000003A" w14:textId="77777777" w:rsidR="00480086" w:rsidRPr="00055C3E" w:rsidRDefault="00480086">
      <w:pPr>
        <w:jc w:val="both"/>
        <w:rPr>
          <w:rFonts w:ascii="Univers" w:eastAsia="Open Sans" w:hAnsi="Univers" w:cs="Open Sans"/>
          <w:sz w:val="20"/>
          <w:szCs w:val="20"/>
        </w:rPr>
      </w:pPr>
    </w:p>
    <w:p w14:paraId="0000003B" w14:textId="77777777" w:rsidR="00480086" w:rsidRPr="00055C3E" w:rsidRDefault="00000000">
      <w:pPr>
        <w:jc w:val="both"/>
        <w:rPr>
          <w:rFonts w:ascii="Univers" w:eastAsia="Open Sans" w:hAnsi="Univers" w:cs="Open Sans"/>
          <w:sz w:val="20"/>
          <w:szCs w:val="20"/>
        </w:rPr>
      </w:pPr>
      <w:r w:rsidRPr="00055C3E">
        <w:rPr>
          <w:rFonts w:ascii="Univers" w:eastAsia="Open Sans" w:hAnsi="Univers" w:cs="Open Sans"/>
          <w:sz w:val="20"/>
          <w:szCs w:val="20"/>
        </w:rPr>
        <w:t>The Chamber's engagement with multilateral bodies may take the form of participation in structured dialogue, contribution to technical or policy discussions within the Chamber's areas of expertise, and coordination with diplomatic missions on matters connected to cross-border economic cooperation. Each of these forms of engagement is conducted by individuals authorised under the Chamber's governance architecture, consistent with the standards applied to the Chamber's broader liaison and government relations activity.</w:t>
      </w:r>
    </w:p>
    <w:p w14:paraId="0000003C" w14:textId="77777777" w:rsidR="00480086" w:rsidRPr="00055C3E" w:rsidRDefault="00480086">
      <w:pPr>
        <w:jc w:val="both"/>
        <w:rPr>
          <w:rFonts w:ascii="Univers" w:eastAsia="Open Sans" w:hAnsi="Univers" w:cs="Open Sans"/>
          <w:sz w:val="20"/>
          <w:szCs w:val="20"/>
        </w:rPr>
      </w:pPr>
    </w:p>
    <w:p w14:paraId="0000003D" w14:textId="77777777" w:rsidR="00480086" w:rsidRPr="00055C3E" w:rsidRDefault="00000000">
      <w:pPr>
        <w:jc w:val="both"/>
        <w:rPr>
          <w:rFonts w:ascii="Univers" w:eastAsia="Open Sans" w:hAnsi="Univers" w:cs="Open Sans"/>
          <w:sz w:val="20"/>
          <w:szCs w:val="20"/>
        </w:rPr>
      </w:pPr>
      <w:r w:rsidRPr="00055C3E">
        <w:rPr>
          <w:rFonts w:ascii="Univers" w:eastAsia="Open Sans" w:hAnsi="Univers" w:cs="Open Sans"/>
          <w:sz w:val="20"/>
          <w:szCs w:val="20"/>
        </w:rPr>
        <w:t>Given the protocols that typically govern interaction with diplomatic and multilateral institutions, engagement through these channels requires particular care in preparation, consistent with the standards applied to Regulatory Meeting and Submission Protocols. This includes clarity regarding the capacity in which the Chamber is participating, careful attention to the conventions of the institution or mission concerned, and internal coordination to ensure that any position communicated is consistent with the Chamber's broader institutional stance.</w:t>
      </w:r>
    </w:p>
    <w:p w14:paraId="0000003E" w14:textId="77777777" w:rsidR="00480086" w:rsidRPr="00055C3E" w:rsidRDefault="00480086">
      <w:pPr>
        <w:jc w:val="both"/>
        <w:rPr>
          <w:rFonts w:ascii="Univers" w:eastAsia="Open Sans" w:hAnsi="Univers" w:cs="Open Sans"/>
          <w:sz w:val="20"/>
          <w:szCs w:val="20"/>
        </w:rPr>
      </w:pPr>
    </w:p>
    <w:p w14:paraId="0000003F" w14:textId="77777777" w:rsidR="00480086" w:rsidRPr="00055C3E" w:rsidRDefault="00000000">
      <w:pPr>
        <w:jc w:val="both"/>
        <w:rPr>
          <w:rFonts w:ascii="Univers" w:eastAsia="Open Sans" w:hAnsi="Univers" w:cs="Open Sans"/>
          <w:sz w:val="20"/>
          <w:szCs w:val="20"/>
        </w:rPr>
      </w:pPr>
      <w:r w:rsidRPr="00055C3E">
        <w:rPr>
          <w:rFonts w:ascii="Univers" w:eastAsia="Open Sans" w:hAnsi="Univers" w:cs="Open Sans"/>
          <w:sz w:val="20"/>
          <w:szCs w:val="20"/>
        </w:rPr>
        <w:t xml:space="preserve">Diplomatic and multilateral engagement is documented and reported in accordance with the Chamber's governance standards, ensuring that these relationships, often developed over extended timeframes and carrying </w:t>
      </w:r>
      <w:proofErr w:type="gramStart"/>
      <w:r w:rsidRPr="00055C3E">
        <w:rPr>
          <w:rFonts w:ascii="Univers" w:eastAsia="Open Sans" w:hAnsi="Univers" w:cs="Open Sans"/>
          <w:sz w:val="20"/>
          <w:szCs w:val="20"/>
        </w:rPr>
        <w:t>particular institutional</w:t>
      </w:r>
      <w:proofErr w:type="gramEnd"/>
      <w:r w:rsidRPr="00055C3E">
        <w:rPr>
          <w:rFonts w:ascii="Univers" w:eastAsia="Open Sans" w:hAnsi="Univers" w:cs="Open Sans"/>
          <w:sz w:val="20"/>
          <w:szCs w:val="20"/>
        </w:rPr>
        <w:t xml:space="preserve"> sensitivity, are sustained through disciplined process rather than informal or personality-dependent contact. This reinforces the Chamber's standing as a credible and consistent participant in the multilateral dimension of international economic cooperation.</w:t>
      </w:r>
    </w:p>
    <w:p w14:paraId="00000040" w14:textId="77777777" w:rsidR="00480086" w:rsidRPr="00055C3E" w:rsidRDefault="00480086">
      <w:pPr>
        <w:jc w:val="both"/>
        <w:rPr>
          <w:rFonts w:ascii="Univers" w:eastAsia="Open Sans" w:hAnsi="Univers" w:cs="Open Sans"/>
          <w:sz w:val="20"/>
          <w:szCs w:val="20"/>
        </w:rPr>
      </w:pPr>
    </w:p>
    <w:sectPr w:rsidR="00480086" w:rsidRPr="00055C3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185967A1-7C44-477B-B063-442209E63C6A}"/>
    <w:embedItalic r:id="rId2" w:fontKey="{32BDBD19-73EA-44BD-A4CE-4260B4361ACE}"/>
  </w:font>
  <w:font w:name="Play">
    <w:charset w:val="00"/>
    <w:family w:val="auto"/>
    <w:pitch w:val="default"/>
    <w:embedRegular r:id="rId3" w:fontKey="{A4A4D7E5-62DF-4DAC-86BC-4497B4EDB280}"/>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EA9B6594-E112-46D2-B7DB-C7F60AD37E1F}"/>
    <w:embedBold r:id="rId5" w:fontKey="{9B976C89-7EE3-457F-B788-B7C89E830B96}"/>
  </w:font>
  <w:font w:name="Open Sans">
    <w:charset w:val="00"/>
    <w:family w:val="swiss"/>
    <w:pitch w:val="variable"/>
    <w:sig w:usb0="E00002EF" w:usb1="4000205B" w:usb2="00000028" w:usb3="00000000" w:csb0="0000019F" w:csb1="00000000"/>
    <w:embedRegular r:id="rId6" w:fontKey="{C0AF5EB9-EA43-4955-A9A5-0FF40F1EC6BE}"/>
    <w:embedBold r:id="rId7" w:fontKey="{9D6625F4-5A7D-4D1A-A29E-1D199AB102EA}"/>
  </w:font>
  <w:font w:name="Cambria Math">
    <w:panose1 w:val="02040503050406030204"/>
    <w:charset w:val="00"/>
    <w:family w:val="roman"/>
    <w:pitch w:val="variable"/>
    <w:sig w:usb0="E00006FF" w:usb1="420024FF" w:usb2="02000000" w:usb3="00000000" w:csb0="0000019F" w:csb1="00000000"/>
    <w:embedBold r:id="rId8" w:fontKey="{B7A0AB25-7A6B-42C3-ACA3-2EED1F900E99}"/>
  </w:font>
  <w:font w:name="Calibri">
    <w:panose1 w:val="020F0502020204030204"/>
    <w:charset w:val="00"/>
    <w:family w:val="swiss"/>
    <w:pitch w:val="variable"/>
    <w:sig w:usb0="E4002EFF" w:usb1="C200247B" w:usb2="00000009" w:usb3="00000000" w:csb0="000001FF" w:csb1="00000000"/>
    <w:embedRegular r:id="rId9" w:fontKey="{BFE91A70-AC79-480B-AE2D-CD38B638CCEA}"/>
  </w:font>
  <w:font w:name="Cambria">
    <w:panose1 w:val="02040503050406030204"/>
    <w:charset w:val="00"/>
    <w:family w:val="roman"/>
    <w:pitch w:val="variable"/>
    <w:sig w:usb0="E00006FF" w:usb1="420024FF" w:usb2="02000000" w:usb3="00000000" w:csb0="0000019F" w:csb1="00000000"/>
    <w:embedRegular r:id="rId10" w:fontKey="{46586E1F-49E0-4BC6-84F4-AA51691BD71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086"/>
    <w:rsid w:val="00055C3E"/>
    <w:rsid w:val="00480086"/>
    <w:rsid w:val="00DF463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933036E-D1EA-49BC-A7A6-21EB8E662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nDgGDJxC1G/WWsWYfvOmS2rQMA==">CgMxLjA4AHIhMU1jYVJYR0phN2pUREFmMEJTOEZpWjFZelc0b0dTUUFZ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2010</Words>
  <Characters>11460</Characters>
  <Application>Microsoft Office Word</Application>
  <DocSecurity>0</DocSecurity>
  <Lines>95</Lines>
  <Paragraphs>26</Paragraphs>
  <ScaleCrop>false</ScaleCrop>
  <Company>Department of Education</Company>
  <LinksUpToDate>false</LinksUpToDate>
  <CharactersWithSpaces>13444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2026-07-23T09:44:00Z</dcterms:created>
  <dcterms:modified xsi:type="dcterms:W3CDTF">2026-07-23T09:45:00Z</dcterms:modified>
</cp:coreProperties>
</file>