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278B6A"/>
          <w:sz w:val="20"/>
        </w:rPr>
        <w:t>FIXSQUAD • CSE470 SOFTWARE ENGINEERING</w:t>
        <w:br/>
      </w:r>
      <w:r>
        <w:rPr>
          <w:b/>
          <w:color w:val="123F36"/>
          <w:sz w:val="42"/>
        </w:rPr>
        <w:t>Sprint 4: Comprehensive Frontend QA Sweep &amp; Polish Report</w:t>
      </w:r>
    </w:p>
    <w:p>
      <w:pPr>
        <w:spacing w:after="320"/>
      </w:pPr>
      <w:r>
        <w:rPr>
          <w:color w:val="5D6E6A"/>
          <w:sz w:val="19"/>
        </w:rPr>
        <w:t>Author: Mohammad Wasik Zubair Abrar (Frontend Lead)  |  Branch: fix/frontend-qa-sweep (from sprint-4-staging)  |  Status: Completed &amp; Fully Verified</w:t>
      </w:r>
    </w:p>
    <w:p>
      <w:pPr>
        <w:pStyle w:val="Heading1"/>
        <w:spacing w:before="240" w:after="120"/>
      </w:pPr>
      <w:r>
        <w:rPr>
          <w:b/>
          <w:color w:val="123F36"/>
          <w:sz w:val="27"/>
        </w:rPr>
        <w:t>1. Executive Summary</w:t>
      </w:r>
    </w:p>
    <w:p>
      <w:pPr>
        <w:spacing w:line="276" w:lineRule="auto" w:after="240"/>
      </w:pPr>
      <w:r>
        <w:t>During Sprint 4, an exhaustive, system-wide frontend quality assurance (QA) sweep and architectural polish was conducted across the entire FixSquad React application on feature branch 'fix/frontend-qa-sweep'. Operating as Frontend Lead, the initiative applied the Impeccable Design &amp; QA Suite to diagnose and rectify visual inconsistencies, styling disharmonies, broken responsive viewports, and navigation dead-ends.</w:t>
        <w:br/>
        <w:br/>
        <w:t>Crucially, the sweep eliminated a massive dark-mode visual disconnect in the Global Category Manager suite, rebuilt the Customer Booking Dashboard into an interactive 4-column Kanban board, modernized the Provider Job Workflow controller, resolved laptop-screen navbar link clipping, and established reusable design tokens while strictly safeguarding all team contractual boundaries (Admin Action Cards and fused Rating &amp; Review modals).</w:t>
      </w:r>
    </w:p>
    <w:p>
      <w:pPr>
        <w:pStyle w:val="Heading1"/>
        <w:spacing w:before="240" w:after="120"/>
      </w:pPr>
      <w:r>
        <w:rPr>
          <w:b/>
          <w:color w:val="123F36"/>
          <w:sz w:val="27"/>
        </w:rPr>
        <w:t>2. Key Areas of Enhancement &amp; Defect Resolution</w:t>
      </w:r>
    </w:p>
    <w:p>
      <w:pPr>
        <w:pStyle w:val="ListBullet"/>
        <w:spacing w:after="80" w:line="276" w:lineRule="auto"/>
      </w:pPr>
      <w:r>
        <w:rPr>
          <w:b/>
          <w:color w:val="16332E"/>
        </w:rPr>
        <w:t xml:space="preserve">Elimination of Dark-Mode Disconnect: </w:t>
      </w:r>
      <w:r>
        <w:t>The Global Category Manager and its subcomponents (StatsCards, CategoryCard, CategoryTable, CategoryFormModal, DeleteConfirmModal, ContractInspectorModal) were previously styled using Tailwind dark slate (bg-slate-900), severely clashing with FixSquad's warm cream and forest brand identity. All components were migrated to a clean, light design system with elevated white cards, mint icon badges, and Forest Green headers.</w:t>
      </w:r>
    </w:p>
    <w:p>
      <w:pPr>
        <w:pStyle w:val="ListBullet"/>
        <w:spacing w:after="80" w:line="276" w:lineRule="auto"/>
      </w:pPr>
      <w:r>
        <w:rPr>
          <w:b/>
          <w:color w:val="16332E"/>
        </w:rPr>
        <w:t xml:space="preserve">Navbar Laptop Screen Overflow &amp; Mobile Menu: </w:t>
      </w:r>
      <w:r>
        <w:t>Discovered that excessive flex gap clamp values (clamp(30px, 6vw, 76px)) caused navigation links and the 'Log out' button to clip and overflow on 13" to 15" laptop screens (940px–1200px). Reduced desktop gaps to clamp(14px, 2vw, 36px), raised mobile breakpoint to 1080px, and added a smooth hamburger-to-X micro-animation.</w:t>
      </w:r>
    </w:p>
    <w:p>
      <w:pPr>
        <w:pStyle w:val="ListBullet"/>
        <w:spacing w:after="80" w:line="276" w:lineRule="auto"/>
      </w:pPr>
      <w:r>
        <w:rPr>
          <w:b/>
          <w:color w:val="16332E"/>
        </w:rPr>
        <w:t xml:space="preserve">Customer Booking Kanban Architecture: </w:t>
      </w:r>
      <w:r>
        <w:t>Transformed the customer dashboard from a bare wireframe into a responsive 4-column Kanban board (Pending, Accepted, In-Progress, Completed) with status badges, SVG date/time pills, BDT price tags, and contextual action buttons (Message Provider, Rate Job, Download Invoice, Open Dispute Ticket).</w:t>
      </w:r>
    </w:p>
    <w:p>
      <w:pPr>
        <w:pStyle w:val="ListBullet"/>
        <w:spacing w:after="80" w:line="276" w:lineRule="auto"/>
      </w:pPr>
      <w:r>
        <w:rPr>
          <w:b/>
          <w:color w:val="16332E"/>
        </w:rPr>
        <w:t xml:space="preserve">Provider Job Workflow Controller: </w:t>
      </w:r>
      <w:r>
        <w:t>Refactored ProviderJobWorkflow.jsx to use Manrope 800 headings, FixSquad eyebrow badges, job price pills, and contextual action buttons (Primary green for forward progression, ghost for messaging, danger for cancellation/rejection).</w:t>
      </w:r>
    </w:p>
    <w:p>
      <w:pPr>
        <w:pStyle w:val="ListBullet"/>
        <w:spacing w:after="80" w:line="276" w:lineRule="auto"/>
      </w:pPr>
      <w:r>
        <w:rPr>
          <w:b/>
          <w:color w:val="16332E"/>
        </w:rPr>
        <w:t xml:space="preserve">Provider Public Profile &amp; Review Fallback: </w:t>
      </w:r>
      <w:r>
        <w:t>Wrapped ProviderPublicProfile.jsx in the standard dashboard layout, added 5-star visual rating displays (★ gold stars), mint avatar badges, and resolved a critical data-mapping bug where customer feedback text was missing due to payload naming mismatches.</w:t>
      </w:r>
    </w:p>
    <w:p>
      <w:pPr>
        <w:pStyle w:val="ListBullet"/>
        <w:spacing w:after="80" w:line="276" w:lineRule="auto"/>
      </w:pPr>
      <w:r>
        <w:rPr>
          <w:b/>
          <w:color w:val="16332E"/>
        </w:rPr>
        <w:t xml:space="preserve">Service Catalog Card &amp; Badge Defect Resolution: </w:t>
      </w:r>
      <w:r>
        <w:t>Diagnosed and resolved the visual defect where category icon slugs ('wrench', 'cpu', 'zap', 'sparkles') were printed as literal uppercase text ('WRENCH PLUMBING &amp; PIPE REPAIR') inside the category badge. Integrated dynamic Lucide SVG icon mapping (getCategoryIcon), eliminated clumsy double dashed line borders around the provider info row in favor of a clean, elevated info container (#f8faf8), standardized title height constraints, and polished the price tag and Book Now CTA button.</w:t>
      </w:r>
    </w:p>
    <w:p>
      <w:pPr>
        <w:pStyle w:val="ListBullet"/>
        <w:spacing w:after="80" w:line="276" w:lineRule="auto"/>
      </w:pPr>
      <w:r>
        <w:rPr>
          <w:b/>
          <w:color w:val="16332E"/>
        </w:rPr>
        <w:t xml:space="preserve">Impeccable Dashboard Iconography Sweep: </w:t>
      </w:r>
      <w:r>
        <w:t>Audited all user dashboards (DashboardPage, CustomerBookingDashboard, ProviderJobWorkflow, AdminSecurityDashboard, AdminDisputeDesk, ServiceList) and replaced unicode emojis/characters (🗂️, 🛡️, ⚖️, ✦, ⚡, ⌂, ⏳, 👍, 💬, ⭐, 📄, ⚠️, 📋, 🛠️) with crisp, uniform Lucide React SVG icons (FolderKanban, ShieldCheck, Scale, Briefcase, CalendarCheck, Home, User, Clock, CheckCircle, Zap, CheckCheck, MessageSquare, Star, FileText, AlertTriangle, ClipboardList, Wrench), adhering to Impeccable craft rules.</w:t>
      </w:r>
    </w:p>
    <w:p>
      <w:pPr>
        <w:pStyle w:val="ListBullet"/>
        <w:spacing w:after="80" w:line="276" w:lineRule="auto"/>
      </w:pPr>
      <w:r>
        <w:rPr>
          <w:b/>
          <w:color w:val="16332E"/>
        </w:rPr>
        <w:t xml:space="preserve">System-Wide Brand Design Tokens: </w:t>
      </w:r>
      <w:r>
        <w:t>Added unified design tokens to styles.css: .brand-input, .brand-select, .brand-textarea, .brand-label, .badge--cancelled, .badge--disputed, .badge--rejected, .brand-stats-grid, and .brand-stats-card.</w:t>
      </w:r>
    </w:p>
    <w:p>
      <w:pPr>
        <w:pStyle w:val="ListBullet"/>
        <w:spacing w:after="80" w:line="276" w:lineRule="auto"/>
      </w:pPr>
      <w:r>
        <w:rPr>
          <w:b/>
          <w:color w:val="16332E"/>
        </w:rPr>
        <w:t xml:space="preserve">Preservation of Strict Guardrails: </w:t>
      </w:r>
      <w:r>
        <w:t>Preserved all Admin Action Cards on DashboardPage.jsx intact, expanding them to include the Dispute Desk. Maintained the fused 1-5 star selector and written review submission logic in RatingModal.jsx, and preserved zero-ORM raw SQL on the backend.</w:t>
      </w:r>
    </w:p>
    <w:p>
      <w:pPr>
        <w:pStyle w:val="Heading1"/>
        <w:spacing w:before="280" w:after="120"/>
      </w:pPr>
      <w:r>
        <w:rPr>
          <w:b/>
          <w:color w:val="123F36"/>
          <w:sz w:val="27"/>
        </w:rPr>
        <w:t>3. Detailed Component &amp; File Modification Log</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123F36"/>
            <w:tcMar>
              <w:top w:w="100" w:type="dxa"/>
              <w:bottom w:w="100" w:type="dxa"/>
              <w:left w:w="120" w:type="dxa"/>
              <w:right w:w="120" w:type="dxa"/>
            </w:tcMar>
          </w:tcPr>
          <w:p>
            <w:pPr>
              <w:jc w:val="left"/>
            </w:pPr>
            <w:r>
              <w:rPr>
                <w:b/>
                <w:color w:val="FFFFFF"/>
                <w:sz w:val="18"/>
              </w:rPr>
              <w:t>File / Component</w:t>
            </w:r>
          </w:p>
        </w:tc>
        <w:tc>
          <w:tcPr>
            <w:tcW w:type="dxa" w:w="3888"/>
            <w:shd w:fill="123F36"/>
            <w:tcMar>
              <w:top w:w="100" w:type="dxa"/>
              <w:bottom w:w="100" w:type="dxa"/>
              <w:left w:w="120" w:type="dxa"/>
              <w:right w:w="120" w:type="dxa"/>
            </w:tcMar>
          </w:tcPr>
          <w:p>
            <w:pPr>
              <w:jc w:val="left"/>
            </w:pPr>
            <w:r>
              <w:rPr>
                <w:b/>
                <w:color w:val="FFFFFF"/>
                <w:sz w:val="18"/>
              </w:rPr>
              <w:t>Changes Executed</w:t>
            </w:r>
          </w:p>
        </w:tc>
        <w:tc>
          <w:tcPr>
            <w:tcW w:type="dxa" w:w="3600"/>
            <w:shd w:fill="123F36"/>
            <w:tcMar>
              <w:top w:w="100" w:type="dxa"/>
              <w:bottom w:w="100" w:type="dxa"/>
              <w:left w:w="120" w:type="dxa"/>
              <w:right w:w="120" w:type="dxa"/>
            </w:tcMar>
          </w:tcPr>
          <w:p>
            <w:pPr>
              <w:jc w:val="left"/>
            </w:pPr>
            <w:r>
              <w:rPr>
                <w:b/>
                <w:color w:val="FFFFFF"/>
                <w:sz w:val="18"/>
              </w:rPr>
              <w:t>Rationale &amp; Impact</w:t>
            </w:r>
          </w:p>
        </w:tc>
      </w:tr>
      <w:tr>
        <w:tc>
          <w:tcPr>
            <w:tcW w:type="dxa" w:w="2592"/>
            <w:shd w:fill="FFFFFF"/>
            <w:tcMar>
              <w:top w:w="80" w:type="dxa"/>
              <w:bottom w:w="80" w:type="dxa"/>
              <w:left w:w="120" w:type="dxa"/>
              <w:right w:w="120" w:type="dxa"/>
            </w:tcMar>
          </w:tcPr>
          <w:p>
            <w:pPr>
              <w:spacing w:line="264" w:lineRule="auto"/>
            </w:pPr>
            <w:r>
              <w:rPr>
                <w:b/>
                <w:color w:val="16332E"/>
                <w:sz w:val="16"/>
              </w:rPr>
              <w:t>frontend/src/styles.css</w:t>
            </w:r>
          </w:p>
        </w:tc>
        <w:tc>
          <w:tcPr>
            <w:tcW w:type="dxa" w:w="3888"/>
            <w:shd w:fill="FFFFFF"/>
            <w:tcMar>
              <w:top w:w="80" w:type="dxa"/>
              <w:bottom w:w="80" w:type="dxa"/>
              <w:left w:w="120" w:type="dxa"/>
              <w:right w:w="120" w:type="dxa"/>
            </w:tcMar>
          </w:tcPr>
          <w:p>
            <w:pPr>
              <w:spacing w:line="264" w:lineRule="auto"/>
            </w:pPr>
            <w:r>
              <w:rPr>
                <w:color w:val="16332E"/>
                <w:sz w:val="16"/>
              </w:rPr>
              <w:t>• Defined missing --border token in :root</w:t>
              <w:br/>
              <w:t>• Reduced desktop navbar gap to clamp(14px, 2vw, 36px)</w:t>
              <w:br/>
              <w:t>• Raised mobile menu breakpoint to 1080px with animated hamburger</w:t>
              <w:br/>
              <w:t>• Added brand tokens: .brand-input, .brand-select, .brand-textarea</w:t>
              <w:br/>
              <w:t>• Added Kanban board &amp; stats card tokens</w:t>
              <w:br/>
              <w:t>• Refactored .catalog-cat-badge and .catalog-provider-info container</w:t>
            </w:r>
          </w:p>
        </w:tc>
        <w:tc>
          <w:tcPr>
            <w:tcW w:type="dxa" w:w="3600"/>
            <w:shd w:fill="FFFFFF"/>
            <w:tcMar>
              <w:top w:w="80" w:type="dxa"/>
              <w:bottom w:w="80" w:type="dxa"/>
              <w:left w:w="120" w:type="dxa"/>
              <w:right w:w="120" w:type="dxa"/>
            </w:tcMar>
          </w:tcPr>
          <w:p>
            <w:pPr>
              <w:spacing w:line="264" w:lineRule="auto"/>
            </w:pPr>
            <w:r>
              <w:rPr>
                <w:color w:val="16332E"/>
                <w:sz w:val="16"/>
              </w:rPr>
              <w:t>Solves laptop navbar link clipping; fixes catalog card cramped dashed lines and wrapping.</w:t>
            </w:r>
          </w:p>
        </w:tc>
      </w:tr>
      <w:tr>
        <w:tc>
          <w:tcPr>
            <w:tcW w:type="dxa" w:w="2592"/>
            <w:shd w:fill="F4FBF7"/>
            <w:tcMar>
              <w:top w:w="80" w:type="dxa"/>
              <w:bottom w:w="80" w:type="dxa"/>
              <w:left w:w="120" w:type="dxa"/>
              <w:right w:w="120" w:type="dxa"/>
            </w:tcMar>
          </w:tcPr>
          <w:p>
            <w:pPr>
              <w:spacing w:line="264" w:lineRule="auto"/>
            </w:pPr>
            <w:r>
              <w:rPr>
                <w:b/>
                <w:color w:val="16332E"/>
                <w:sz w:val="16"/>
              </w:rPr>
              <w:t>frontend/src/components/Navbar.jsx</w:t>
            </w:r>
          </w:p>
        </w:tc>
        <w:tc>
          <w:tcPr>
            <w:tcW w:type="dxa" w:w="3888"/>
            <w:shd w:fill="F4FBF7"/>
            <w:tcMar>
              <w:top w:w="80" w:type="dxa"/>
              <w:bottom w:w="80" w:type="dxa"/>
              <w:left w:w="120" w:type="dxa"/>
              <w:right w:w="120" w:type="dxa"/>
            </w:tcMar>
          </w:tcPr>
          <w:p>
            <w:pPr>
              <w:spacing w:line="264" w:lineRule="auto"/>
            </w:pPr>
            <w:r>
              <w:rPr>
                <w:color w:val="16332E"/>
                <w:sz w:val="16"/>
              </w:rPr>
              <w:t>• Added Admin links: Categories, Security, Disputes</w:t>
              <w:br/>
              <w:t>• Enabled service catalog browsing for all authenticated roles</w:t>
              <w:br/>
              <w:t>• Refined link padding for compact laptop viewports</w:t>
            </w:r>
          </w:p>
        </w:tc>
        <w:tc>
          <w:tcPr>
            <w:tcW w:type="dxa" w:w="3600"/>
            <w:shd w:fill="F4FBF7"/>
            <w:tcMar>
              <w:top w:w="80" w:type="dxa"/>
              <w:bottom w:w="80" w:type="dxa"/>
              <w:left w:w="120" w:type="dxa"/>
              <w:right w:w="120" w:type="dxa"/>
            </w:tcMar>
          </w:tcPr>
          <w:p>
            <w:pPr>
              <w:spacing w:line="264" w:lineRule="auto"/>
            </w:pPr>
            <w:r>
              <w:rPr>
                <w:color w:val="16332E"/>
                <w:sz w:val="16"/>
              </w:rPr>
              <w:t>Eliminates dead-ends for admins; makes all platform features directly navigable from the global header.</w:t>
            </w:r>
          </w:p>
        </w:tc>
      </w:tr>
      <w:tr>
        <w:tc>
          <w:tcPr>
            <w:tcW w:type="dxa" w:w="2592"/>
            <w:shd w:fill="FFFFFF"/>
            <w:tcMar>
              <w:top w:w="80" w:type="dxa"/>
              <w:bottom w:w="80" w:type="dxa"/>
              <w:left w:w="120" w:type="dxa"/>
              <w:right w:w="120" w:type="dxa"/>
            </w:tcMar>
          </w:tcPr>
          <w:p>
            <w:pPr>
              <w:spacing w:line="264" w:lineRule="auto"/>
            </w:pPr>
            <w:r>
              <w:rPr>
                <w:b/>
                <w:color w:val="16332E"/>
                <w:sz w:val="16"/>
              </w:rPr>
              <w:t>frontend/src/components/StatsCards.jsx</w:t>
            </w:r>
          </w:p>
        </w:tc>
        <w:tc>
          <w:tcPr>
            <w:tcW w:type="dxa" w:w="3888"/>
            <w:shd w:fill="FFFFFF"/>
            <w:tcMar>
              <w:top w:w="80" w:type="dxa"/>
              <w:bottom w:w="80" w:type="dxa"/>
              <w:left w:w="120" w:type="dxa"/>
              <w:right w:w="120" w:type="dxa"/>
            </w:tcMar>
          </w:tcPr>
          <w:p>
            <w:pPr>
              <w:spacing w:line="264" w:lineRule="auto"/>
            </w:pPr>
            <w:r>
              <w:rPr>
                <w:color w:val="16332E"/>
                <w:sz w:val="16"/>
              </w:rPr>
              <w:t>• Refactored from dark mode (bg-slate-900) to FixSquad light brand cards</w:t>
              <w:br/>
              <w:t>• Mint/green/amber accent backgrounds with Manrope numbers</w:t>
            </w:r>
          </w:p>
        </w:tc>
        <w:tc>
          <w:tcPr>
            <w:tcW w:type="dxa" w:w="3600"/>
            <w:shd w:fill="FFFFFF"/>
            <w:tcMar>
              <w:top w:w="80" w:type="dxa"/>
              <w:bottom w:w="80" w:type="dxa"/>
              <w:left w:w="120" w:type="dxa"/>
              <w:right w:w="120" w:type="dxa"/>
            </w:tcMar>
          </w:tcPr>
          <w:p>
            <w:pPr>
              <w:spacing w:line="264" w:lineRule="auto"/>
            </w:pPr>
            <w:r>
              <w:rPr>
                <w:color w:val="16332E"/>
                <w:sz w:val="16"/>
              </w:rPr>
              <w:t>Eliminates visual dissonance in Global Category Manager; matches light brand aesthetic.</w:t>
            </w:r>
          </w:p>
        </w:tc>
      </w:tr>
      <w:tr>
        <w:tc>
          <w:tcPr>
            <w:tcW w:type="dxa" w:w="2592"/>
            <w:shd w:fill="F4FBF7"/>
            <w:tcMar>
              <w:top w:w="80" w:type="dxa"/>
              <w:bottom w:w="80" w:type="dxa"/>
              <w:left w:w="120" w:type="dxa"/>
              <w:right w:w="120" w:type="dxa"/>
            </w:tcMar>
          </w:tcPr>
          <w:p>
            <w:pPr>
              <w:spacing w:line="264" w:lineRule="auto"/>
            </w:pPr>
            <w:r>
              <w:rPr>
                <w:b/>
                <w:color w:val="16332E"/>
                <w:sz w:val="16"/>
              </w:rPr>
              <w:t>frontend/src/components/CategoryCard.jsx</w:t>
            </w:r>
          </w:p>
        </w:tc>
        <w:tc>
          <w:tcPr>
            <w:tcW w:type="dxa" w:w="3888"/>
            <w:shd w:fill="F4FBF7"/>
            <w:tcMar>
              <w:top w:w="80" w:type="dxa"/>
              <w:bottom w:w="80" w:type="dxa"/>
              <w:left w:w="120" w:type="dxa"/>
              <w:right w:w="120" w:type="dxa"/>
            </w:tcMar>
          </w:tcPr>
          <w:p>
            <w:pPr>
              <w:spacing w:line="264" w:lineRule="auto"/>
            </w:pPr>
            <w:r>
              <w:rPr>
                <w:color w:val="16332E"/>
                <w:sz w:val="16"/>
              </w:rPr>
              <w:t>• Refactored from dark mode to white elevated card with #a7d9c5 hover border</w:t>
              <w:br/>
              <w:t>• Mint icon badge, status badge, and clean Edit/Delete buttons</w:t>
            </w:r>
          </w:p>
        </w:tc>
        <w:tc>
          <w:tcPr>
            <w:tcW w:type="dxa" w:w="3600"/>
            <w:shd w:fill="F4FBF7"/>
            <w:tcMar>
              <w:top w:w="80" w:type="dxa"/>
              <w:bottom w:w="80" w:type="dxa"/>
              <w:left w:w="120" w:type="dxa"/>
              <w:right w:w="120" w:type="dxa"/>
            </w:tcMar>
          </w:tcPr>
          <w:p>
            <w:pPr>
              <w:spacing w:line="264" w:lineRule="auto"/>
            </w:pPr>
            <w:r>
              <w:rPr>
                <w:color w:val="16332E"/>
                <w:sz w:val="16"/>
              </w:rPr>
              <w:t>Consistent card design language and accessible hover feedback.</w:t>
            </w:r>
          </w:p>
        </w:tc>
      </w:tr>
      <w:tr>
        <w:tc>
          <w:tcPr>
            <w:tcW w:type="dxa" w:w="2592"/>
            <w:shd w:fill="FFFFFF"/>
            <w:tcMar>
              <w:top w:w="80" w:type="dxa"/>
              <w:bottom w:w="80" w:type="dxa"/>
              <w:left w:w="120" w:type="dxa"/>
              <w:right w:w="120" w:type="dxa"/>
            </w:tcMar>
          </w:tcPr>
          <w:p>
            <w:pPr>
              <w:spacing w:line="264" w:lineRule="auto"/>
            </w:pPr>
            <w:r>
              <w:rPr>
                <w:b/>
                <w:color w:val="16332E"/>
                <w:sz w:val="16"/>
              </w:rPr>
              <w:t>frontend/src/components/CategoryTable.jsx</w:t>
            </w:r>
          </w:p>
        </w:tc>
        <w:tc>
          <w:tcPr>
            <w:tcW w:type="dxa" w:w="3888"/>
            <w:shd w:fill="FFFFFF"/>
            <w:tcMar>
              <w:top w:w="80" w:type="dxa"/>
              <w:bottom w:w="80" w:type="dxa"/>
              <w:left w:w="120" w:type="dxa"/>
              <w:right w:w="120" w:type="dxa"/>
            </w:tcMar>
          </w:tcPr>
          <w:p>
            <w:pPr>
              <w:spacing w:line="264" w:lineRule="auto"/>
            </w:pPr>
            <w:r>
              <w:rPr>
                <w:color w:val="16332E"/>
                <w:sz w:val="16"/>
              </w:rPr>
              <w:t>• Refactored from dark slate to FixSquad .brand-table-wrap and .brand-table</w:t>
              <w:br/>
              <w:t>• Formatted ID badges, category icon pills, and styled actions</w:t>
            </w:r>
          </w:p>
        </w:tc>
        <w:tc>
          <w:tcPr>
            <w:tcW w:type="dxa" w:w="3600"/>
            <w:shd w:fill="FFFFFF"/>
            <w:tcMar>
              <w:top w:w="80" w:type="dxa"/>
              <w:bottom w:w="80" w:type="dxa"/>
              <w:left w:w="120" w:type="dxa"/>
              <w:right w:w="120" w:type="dxa"/>
            </w:tcMar>
          </w:tcPr>
          <w:p>
            <w:pPr>
              <w:spacing w:line="264" w:lineRule="auto"/>
            </w:pPr>
            <w:r>
              <w:rPr>
                <w:color w:val="16332E"/>
                <w:sz w:val="16"/>
              </w:rPr>
              <w:t>Unifies data table presentation across administrative screens.</w:t>
            </w:r>
          </w:p>
        </w:tc>
      </w:tr>
      <w:tr>
        <w:tc>
          <w:tcPr>
            <w:tcW w:type="dxa" w:w="2592"/>
            <w:shd w:fill="F4FBF7"/>
            <w:tcMar>
              <w:top w:w="80" w:type="dxa"/>
              <w:bottom w:w="80" w:type="dxa"/>
              <w:left w:w="120" w:type="dxa"/>
              <w:right w:w="120" w:type="dxa"/>
            </w:tcMar>
          </w:tcPr>
          <w:p>
            <w:pPr>
              <w:spacing w:line="264" w:lineRule="auto"/>
            </w:pPr>
            <w:r>
              <w:rPr>
                <w:b/>
                <w:color w:val="16332E"/>
                <w:sz w:val="16"/>
              </w:rPr>
              <w:t>frontend/src/components/CategoryFormModal.jsx</w:t>
            </w:r>
          </w:p>
        </w:tc>
        <w:tc>
          <w:tcPr>
            <w:tcW w:type="dxa" w:w="3888"/>
            <w:shd w:fill="F4FBF7"/>
            <w:tcMar>
              <w:top w:w="80" w:type="dxa"/>
              <w:bottom w:w="80" w:type="dxa"/>
              <w:left w:w="120" w:type="dxa"/>
              <w:right w:w="120" w:type="dxa"/>
            </w:tcMar>
          </w:tcPr>
          <w:p>
            <w:pPr>
              <w:spacing w:line="264" w:lineRule="auto"/>
            </w:pPr>
            <w:r>
              <w:rPr>
                <w:color w:val="16332E"/>
                <w:sz w:val="16"/>
              </w:rPr>
              <w:t>• Refactored modal from dark mode to .booking-modal-overlay and .booking-modal</w:t>
              <w:br/>
              <w:t>• Brand icon picker pills, .brand-input, and .button--primary</w:t>
            </w:r>
          </w:p>
        </w:tc>
        <w:tc>
          <w:tcPr>
            <w:tcW w:type="dxa" w:w="3600"/>
            <w:shd w:fill="F4FBF7"/>
            <w:tcMar>
              <w:top w:w="80" w:type="dxa"/>
              <w:bottom w:w="80" w:type="dxa"/>
              <w:left w:w="120" w:type="dxa"/>
              <w:right w:w="120" w:type="dxa"/>
            </w:tcMar>
          </w:tcPr>
          <w:p>
            <w:pPr>
              <w:spacing w:line="264" w:lineRule="auto"/>
            </w:pPr>
            <w:r>
              <w:rPr>
                <w:color w:val="16332E"/>
                <w:sz w:val="16"/>
              </w:rPr>
              <w:t>Eliminates jarring dark-mode modal overlays on light background pages.</w:t>
            </w:r>
          </w:p>
        </w:tc>
      </w:tr>
      <w:tr>
        <w:tc>
          <w:tcPr>
            <w:tcW w:type="dxa" w:w="2592"/>
            <w:shd w:fill="FFFFFF"/>
            <w:tcMar>
              <w:top w:w="80" w:type="dxa"/>
              <w:bottom w:w="80" w:type="dxa"/>
              <w:left w:w="120" w:type="dxa"/>
              <w:right w:w="120" w:type="dxa"/>
            </w:tcMar>
          </w:tcPr>
          <w:p>
            <w:pPr>
              <w:spacing w:line="264" w:lineRule="auto"/>
            </w:pPr>
            <w:r>
              <w:rPr>
                <w:b/>
                <w:color w:val="16332E"/>
                <w:sz w:val="16"/>
              </w:rPr>
              <w:t>frontend/src/components/DeleteConfirmModal.jsx</w:t>
            </w:r>
          </w:p>
        </w:tc>
        <w:tc>
          <w:tcPr>
            <w:tcW w:type="dxa" w:w="3888"/>
            <w:shd w:fill="FFFFFF"/>
            <w:tcMar>
              <w:top w:w="80" w:type="dxa"/>
              <w:bottom w:w="80" w:type="dxa"/>
              <w:left w:w="120" w:type="dxa"/>
              <w:right w:w="120" w:type="dxa"/>
            </w:tcMar>
          </w:tcPr>
          <w:p>
            <w:pPr>
              <w:spacing w:line="264" w:lineRule="auto"/>
            </w:pPr>
            <w:r>
              <w:rPr>
                <w:color w:val="16332E"/>
                <w:sz w:val="16"/>
              </w:rPr>
              <w:t>• Refactored to light brand modal with alert icon pill and styled danger button</w:t>
            </w:r>
          </w:p>
        </w:tc>
        <w:tc>
          <w:tcPr>
            <w:tcW w:type="dxa" w:w="3600"/>
            <w:shd w:fill="FFFFFF"/>
            <w:tcMar>
              <w:top w:w="80" w:type="dxa"/>
              <w:bottom w:w="80" w:type="dxa"/>
              <w:left w:w="120" w:type="dxa"/>
              <w:right w:w="120" w:type="dxa"/>
            </w:tcMar>
          </w:tcPr>
          <w:p>
            <w:pPr>
              <w:spacing w:line="264" w:lineRule="auto"/>
            </w:pPr>
            <w:r>
              <w:rPr>
                <w:color w:val="16332E"/>
                <w:sz w:val="16"/>
              </w:rPr>
              <w:t>Consistent confirmation dialog styling for category deletion.</w:t>
            </w:r>
          </w:p>
        </w:tc>
      </w:tr>
      <w:tr>
        <w:tc>
          <w:tcPr>
            <w:tcW w:type="dxa" w:w="2592"/>
            <w:shd w:fill="F4FBF7"/>
            <w:tcMar>
              <w:top w:w="80" w:type="dxa"/>
              <w:bottom w:w="80" w:type="dxa"/>
              <w:left w:w="120" w:type="dxa"/>
              <w:right w:w="120" w:type="dxa"/>
            </w:tcMar>
          </w:tcPr>
          <w:p>
            <w:pPr>
              <w:spacing w:line="264" w:lineRule="auto"/>
            </w:pPr>
            <w:r>
              <w:rPr>
                <w:b/>
                <w:color w:val="16332E"/>
                <w:sz w:val="16"/>
              </w:rPr>
              <w:t>frontend/src/components/ContractInspectorModal.jsx</w:t>
            </w:r>
          </w:p>
        </w:tc>
        <w:tc>
          <w:tcPr>
            <w:tcW w:type="dxa" w:w="3888"/>
            <w:shd w:fill="F4FBF7"/>
            <w:tcMar>
              <w:top w:w="80" w:type="dxa"/>
              <w:bottom w:w="80" w:type="dxa"/>
              <w:left w:w="120" w:type="dxa"/>
              <w:right w:w="120" w:type="dxa"/>
            </w:tcMar>
          </w:tcPr>
          <w:p>
            <w:pPr>
              <w:spacing w:line="264" w:lineRule="auto"/>
            </w:pPr>
            <w:r>
              <w:rPr>
                <w:color w:val="16332E"/>
                <w:sz w:val="16"/>
              </w:rPr>
              <w:t>• Converted from dark modal to clean brand modal with Manrope headings, formatted code block, and copy confirmation</w:t>
            </w:r>
          </w:p>
        </w:tc>
        <w:tc>
          <w:tcPr>
            <w:tcW w:type="dxa" w:w="3600"/>
            <w:shd w:fill="F4FBF7"/>
            <w:tcMar>
              <w:top w:w="80" w:type="dxa"/>
              <w:bottom w:w="80" w:type="dxa"/>
              <w:left w:w="120" w:type="dxa"/>
              <w:right w:w="120" w:type="dxa"/>
            </w:tcMar>
          </w:tcPr>
          <w:p>
            <w:pPr>
              <w:spacing w:line="264" w:lineRule="auto"/>
            </w:pPr>
            <w:r>
              <w:rPr>
                <w:color w:val="16332E"/>
                <w:sz w:val="16"/>
              </w:rPr>
              <w:t>Professional presentation for integration contract inspection.</w:t>
            </w:r>
          </w:p>
        </w:tc>
      </w:tr>
      <w:tr>
        <w:tc>
          <w:tcPr>
            <w:tcW w:type="dxa" w:w="2592"/>
            <w:shd w:fill="FFFFFF"/>
            <w:tcMar>
              <w:top w:w="80" w:type="dxa"/>
              <w:bottom w:w="80" w:type="dxa"/>
              <w:left w:w="120" w:type="dxa"/>
              <w:right w:w="120" w:type="dxa"/>
            </w:tcMar>
          </w:tcPr>
          <w:p>
            <w:pPr>
              <w:spacing w:line="264" w:lineRule="auto"/>
            </w:pPr>
            <w:r>
              <w:rPr>
                <w:b/>
                <w:color w:val="16332E"/>
                <w:sz w:val="16"/>
              </w:rPr>
              <w:t>frontend/src/pages/GlobalCategoryManager.jsx</w:t>
            </w:r>
          </w:p>
        </w:tc>
        <w:tc>
          <w:tcPr>
            <w:tcW w:type="dxa" w:w="3888"/>
            <w:shd w:fill="FFFFFF"/>
            <w:tcMar>
              <w:top w:w="80" w:type="dxa"/>
              <w:bottom w:w="80" w:type="dxa"/>
              <w:left w:w="120" w:type="dxa"/>
              <w:right w:w="120" w:type="dxa"/>
            </w:tcMar>
          </w:tcPr>
          <w:p>
            <w:pPr>
              <w:spacing w:line="264" w:lineRule="auto"/>
            </w:pPr>
            <w:r>
              <w:rPr>
                <w:color w:val="16332E"/>
                <w:sz w:val="16"/>
              </w:rPr>
              <w:t>• Replaced dark gradient banner with Forest Green hero banner</w:t>
              <w:br/>
              <w:t>• Replaced dark controls bar with white search box, select dropdowns, and view pills</w:t>
              <w:br/>
              <w:t>• Clean white card empty state</w:t>
            </w:r>
          </w:p>
        </w:tc>
        <w:tc>
          <w:tcPr>
            <w:tcW w:type="dxa" w:w="3600"/>
            <w:shd w:fill="FFFFFF"/>
            <w:tcMar>
              <w:top w:w="80" w:type="dxa"/>
              <w:bottom w:w="80" w:type="dxa"/>
              <w:left w:w="120" w:type="dxa"/>
              <w:right w:w="120" w:type="dxa"/>
            </w:tcMar>
          </w:tcPr>
          <w:p>
            <w:pPr>
              <w:spacing w:line="264" w:lineRule="auto"/>
            </w:pPr>
            <w:r>
              <w:rPr>
                <w:color w:val="16332E"/>
                <w:sz w:val="16"/>
              </w:rPr>
              <w:t>Completes full transition of Feature 12 from dark mode to light brand system.</w:t>
            </w:r>
          </w:p>
        </w:tc>
      </w:tr>
      <w:tr>
        <w:tc>
          <w:tcPr>
            <w:tcW w:type="dxa" w:w="2592"/>
            <w:shd w:fill="F4FBF7"/>
            <w:tcMar>
              <w:top w:w="80" w:type="dxa"/>
              <w:bottom w:w="80" w:type="dxa"/>
              <w:left w:w="120" w:type="dxa"/>
              <w:right w:w="120" w:type="dxa"/>
            </w:tcMar>
          </w:tcPr>
          <w:p>
            <w:pPr>
              <w:spacing w:line="264" w:lineRule="auto"/>
            </w:pPr>
            <w:r>
              <w:rPr>
                <w:b/>
                <w:color w:val="16332E"/>
                <w:sz w:val="16"/>
              </w:rPr>
              <w:t>frontend/src/pages/CustomerBookingDashboard.jsx</w:t>
            </w:r>
          </w:p>
        </w:tc>
        <w:tc>
          <w:tcPr>
            <w:tcW w:type="dxa" w:w="3888"/>
            <w:shd w:fill="F4FBF7"/>
            <w:tcMar>
              <w:top w:w="80" w:type="dxa"/>
              <w:bottom w:w="80" w:type="dxa"/>
              <w:left w:w="120" w:type="dxa"/>
              <w:right w:w="120" w:type="dxa"/>
            </w:tcMar>
          </w:tcPr>
          <w:p>
            <w:pPr>
              <w:spacing w:line="264" w:lineRule="auto"/>
            </w:pPr>
            <w:r>
              <w:rPr>
                <w:color w:val="16332E"/>
                <w:sz w:val="16"/>
              </w:rPr>
              <w:t>• Refactored wireframe Kanban board to FixSquad board design (.board-columns-grid)</w:t>
              <w:br/>
              <w:t>• Added status badges to all cards (Pending, Accepted, In-Progress, etc.)</w:t>
              <w:br/>
              <w:t>• Standardized action buttons with Lucide SVG icons (MessageSquare, Star, FileText, AlertTriangle)</w:t>
              <w:br/>
              <w:t>• Standardized Manrope typography</w:t>
            </w:r>
          </w:p>
        </w:tc>
        <w:tc>
          <w:tcPr>
            <w:tcW w:type="dxa" w:w="3600"/>
            <w:shd w:fill="F4FBF7"/>
            <w:tcMar>
              <w:top w:w="80" w:type="dxa"/>
              <w:bottom w:w="80" w:type="dxa"/>
              <w:left w:w="120" w:type="dxa"/>
              <w:right w:w="120" w:type="dxa"/>
            </w:tcMar>
          </w:tcPr>
          <w:p>
            <w:pPr>
              <w:spacing w:line="264" w:lineRule="auto"/>
            </w:pPr>
            <w:r>
              <w:rPr>
                <w:color w:val="16332E"/>
                <w:sz w:val="16"/>
              </w:rPr>
              <w:t>Delivers an intuitive, modern service tracking workspace for customers.</w:t>
            </w:r>
          </w:p>
        </w:tc>
      </w:tr>
      <w:tr>
        <w:tc>
          <w:tcPr>
            <w:tcW w:type="dxa" w:w="2592"/>
            <w:shd w:fill="FFFFFF"/>
            <w:tcMar>
              <w:top w:w="80" w:type="dxa"/>
              <w:bottom w:w="80" w:type="dxa"/>
              <w:left w:w="120" w:type="dxa"/>
              <w:right w:w="120" w:type="dxa"/>
            </w:tcMar>
          </w:tcPr>
          <w:p>
            <w:pPr>
              <w:spacing w:line="264" w:lineRule="auto"/>
            </w:pPr>
            <w:r>
              <w:rPr>
                <w:b/>
                <w:color w:val="16332E"/>
                <w:sz w:val="16"/>
              </w:rPr>
              <w:t>frontend/src/pages/ProviderJobWorkflow.jsx</w:t>
            </w:r>
          </w:p>
        </w:tc>
        <w:tc>
          <w:tcPr>
            <w:tcW w:type="dxa" w:w="3888"/>
            <w:shd w:fill="FFFFFF"/>
            <w:tcMar>
              <w:top w:w="80" w:type="dxa"/>
              <w:bottom w:w="80" w:type="dxa"/>
              <w:left w:w="120" w:type="dxa"/>
              <w:right w:w="120" w:type="dxa"/>
            </w:tcMar>
          </w:tcPr>
          <w:p>
            <w:pPr>
              <w:spacing w:line="264" w:lineRule="auto"/>
            </w:pPr>
            <w:r>
              <w:rPr>
                <w:color w:val="16332E"/>
                <w:sz w:val="16"/>
              </w:rPr>
              <w:t>• Upgraded to Manrope 800 typography and eyebrow with green dot</w:t>
              <w:br/>
              <w:t>• Added brand status badges and job price pills (৳)</w:t>
              <w:br/>
              <w:t>• Structured contextual action buttons (Primary green for forward stages, danger for rejection)</w:t>
              <w:br/>
              <w:t>• Upgraded empty state and schedule pill with Lucide SVG icons</w:t>
            </w:r>
          </w:p>
        </w:tc>
        <w:tc>
          <w:tcPr>
            <w:tcW w:type="dxa" w:w="3600"/>
            <w:shd w:fill="FFFFFF"/>
            <w:tcMar>
              <w:top w:w="80" w:type="dxa"/>
              <w:bottom w:w="80" w:type="dxa"/>
              <w:left w:w="120" w:type="dxa"/>
              <w:right w:w="120" w:type="dxa"/>
            </w:tcMar>
          </w:tcPr>
          <w:p>
            <w:pPr>
              <w:spacing w:line="264" w:lineRule="auto"/>
            </w:pPr>
            <w:r>
              <w:rPr>
                <w:color w:val="16332E"/>
                <w:sz w:val="16"/>
              </w:rPr>
              <w:t>Provides providers with clear visual feedback and smooth execution stage transitions.</w:t>
            </w:r>
          </w:p>
        </w:tc>
      </w:tr>
      <w:tr>
        <w:tc>
          <w:tcPr>
            <w:tcW w:type="dxa" w:w="2592"/>
            <w:shd w:fill="F4FBF7"/>
            <w:tcMar>
              <w:top w:w="80" w:type="dxa"/>
              <w:bottom w:w="80" w:type="dxa"/>
              <w:left w:w="120" w:type="dxa"/>
              <w:right w:w="120" w:type="dxa"/>
            </w:tcMar>
          </w:tcPr>
          <w:p>
            <w:pPr>
              <w:spacing w:line="264" w:lineRule="auto"/>
            </w:pPr>
            <w:r>
              <w:rPr>
                <w:b/>
                <w:color w:val="16332E"/>
                <w:sz w:val="16"/>
              </w:rPr>
              <w:t>frontend/src/pages/ProviderPublicProfile.jsx</w:t>
            </w:r>
          </w:p>
        </w:tc>
        <w:tc>
          <w:tcPr>
            <w:tcW w:type="dxa" w:w="3888"/>
            <w:shd w:fill="F4FBF7"/>
            <w:tcMar>
              <w:top w:w="80" w:type="dxa"/>
              <w:bottom w:w="80" w:type="dxa"/>
              <w:left w:w="120" w:type="dxa"/>
              <w:right w:w="120" w:type="dxa"/>
            </w:tcMar>
          </w:tcPr>
          <w:p>
            <w:pPr>
              <w:spacing w:line="264" w:lineRule="auto"/>
            </w:pPr>
            <w:r>
              <w:rPr>
                <w:color w:val="16332E"/>
                <w:sz w:val="16"/>
              </w:rPr>
              <w:t>• Wrapped in standard dashboard container</w:t>
              <w:br/>
              <w:t>• Provider header banner with mint avatar badge and verified provider pill</w:t>
              <w:br/>
              <w:t>• Added 5-star visual rating display (★ gold stars)</w:t>
              <w:br/>
              <w:t>• Fixed review comment text display fallback (review.comment || review.review_text)</w:t>
            </w:r>
          </w:p>
        </w:tc>
        <w:tc>
          <w:tcPr>
            <w:tcW w:type="dxa" w:w="3600"/>
            <w:shd w:fill="F4FBF7"/>
            <w:tcMar>
              <w:top w:w="80" w:type="dxa"/>
              <w:bottom w:w="80" w:type="dxa"/>
              <w:left w:w="120" w:type="dxa"/>
              <w:right w:w="120" w:type="dxa"/>
            </w:tcMar>
          </w:tcPr>
          <w:p>
            <w:pPr>
              <w:spacing w:line="264" w:lineRule="auto"/>
            </w:pPr>
            <w:r>
              <w:rPr>
                <w:color w:val="16332E"/>
                <w:sz w:val="16"/>
              </w:rPr>
              <w:t>Delivers a polished public portfolio and customer review viewing experience.</w:t>
            </w:r>
          </w:p>
        </w:tc>
      </w:tr>
      <w:tr>
        <w:tc>
          <w:tcPr>
            <w:tcW w:type="dxa" w:w="2592"/>
            <w:shd w:fill="FFFFFF"/>
            <w:tcMar>
              <w:top w:w="80" w:type="dxa"/>
              <w:bottom w:w="80" w:type="dxa"/>
              <w:left w:w="120" w:type="dxa"/>
              <w:right w:w="120" w:type="dxa"/>
            </w:tcMar>
          </w:tcPr>
          <w:p>
            <w:pPr>
              <w:spacing w:line="264" w:lineRule="auto"/>
            </w:pPr>
            <w:r>
              <w:rPr>
                <w:b/>
                <w:color w:val="16332E"/>
                <w:sz w:val="16"/>
              </w:rPr>
              <w:t>frontend/src/components/RatingModal.jsx</w:t>
            </w:r>
          </w:p>
        </w:tc>
        <w:tc>
          <w:tcPr>
            <w:tcW w:type="dxa" w:w="3888"/>
            <w:shd w:fill="FFFFFF"/>
            <w:tcMar>
              <w:top w:w="80" w:type="dxa"/>
              <w:bottom w:w="80" w:type="dxa"/>
              <w:left w:w="120" w:type="dxa"/>
              <w:right w:w="120" w:type="dxa"/>
            </w:tcMar>
          </w:tcPr>
          <w:p>
            <w:pPr>
              <w:spacing w:line="264" w:lineRule="auto"/>
            </w:pPr>
            <w:r>
              <w:rPr>
                <w:color w:val="16332E"/>
                <w:sz w:val="16"/>
              </w:rPr>
              <w:t>• PRESERVED fused 1-5 rating selector and written feedback logic</w:t>
              <w:br/>
              <w:t>• Migrated wrapper to .booking-modal-overlay and .booking-modal</w:t>
              <w:br/>
              <w:t>• Gold star rating micro-interaction and clean brand buttons</w:t>
            </w:r>
          </w:p>
        </w:tc>
        <w:tc>
          <w:tcPr>
            <w:tcW w:type="dxa" w:w="3600"/>
            <w:shd w:fill="FFFFFF"/>
            <w:tcMar>
              <w:top w:w="80" w:type="dxa"/>
              <w:bottom w:w="80" w:type="dxa"/>
              <w:left w:w="120" w:type="dxa"/>
              <w:right w:w="120" w:type="dxa"/>
            </w:tcMar>
          </w:tcPr>
          <w:p>
            <w:pPr>
              <w:spacing w:line="264" w:lineRule="auto"/>
            </w:pPr>
            <w:r>
              <w:rPr>
                <w:color w:val="16332E"/>
                <w:sz w:val="16"/>
              </w:rPr>
              <w:t>Polished customer rating experience while respecting teammate contract.</w:t>
            </w:r>
          </w:p>
        </w:tc>
      </w:tr>
      <w:tr>
        <w:tc>
          <w:tcPr>
            <w:tcW w:type="dxa" w:w="2592"/>
            <w:shd w:fill="F4FBF7"/>
            <w:tcMar>
              <w:top w:w="80" w:type="dxa"/>
              <w:bottom w:w="80" w:type="dxa"/>
              <w:left w:w="120" w:type="dxa"/>
              <w:right w:w="120" w:type="dxa"/>
            </w:tcMar>
          </w:tcPr>
          <w:p>
            <w:pPr>
              <w:spacing w:line="264" w:lineRule="auto"/>
            </w:pPr>
            <w:r>
              <w:rPr>
                <w:b/>
                <w:color w:val="16332E"/>
                <w:sz w:val="16"/>
              </w:rPr>
              <w:t>frontend/src/components/DisputeModal.jsx</w:t>
            </w:r>
          </w:p>
        </w:tc>
        <w:tc>
          <w:tcPr>
            <w:tcW w:type="dxa" w:w="3888"/>
            <w:shd w:fill="F4FBF7"/>
            <w:tcMar>
              <w:top w:w="80" w:type="dxa"/>
              <w:bottom w:w="80" w:type="dxa"/>
              <w:left w:w="120" w:type="dxa"/>
              <w:right w:w="120" w:type="dxa"/>
            </w:tcMar>
          </w:tcPr>
          <w:p>
            <w:pPr>
              <w:spacing w:line="264" w:lineRule="auto"/>
            </w:pPr>
            <w:r>
              <w:rPr>
                <w:color w:val="16332E"/>
                <w:sz w:val="16"/>
              </w:rPr>
              <w:t>• Migrated wrapper to .booking-modal-overlay and .booking-modal</w:t>
              <w:br/>
              <w:t>• Standardized with .brand-select, .brand-textarea, and danger button</w:t>
            </w:r>
          </w:p>
        </w:tc>
        <w:tc>
          <w:tcPr>
            <w:tcW w:type="dxa" w:w="3600"/>
            <w:shd w:fill="F4FBF7"/>
            <w:tcMar>
              <w:top w:w="80" w:type="dxa"/>
              <w:bottom w:w="80" w:type="dxa"/>
              <w:left w:w="120" w:type="dxa"/>
              <w:right w:w="120" w:type="dxa"/>
            </w:tcMar>
          </w:tcPr>
          <w:p>
            <w:pPr>
              <w:spacing w:line="264" w:lineRule="auto"/>
            </w:pPr>
            <w:r>
              <w:rPr>
                <w:color w:val="16332E"/>
                <w:sz w:val="16"/>
              </w:rPr>
              <w:t>Consistent dispute filing dialog for customer escalation.</w:t>
            </w:r>
          </w:p>
        </w:tc>
      </w:tr>
      <w:tr>
        <w:tc>
          <w:tcPr>
            <w:tcW w:type="dxa" w:w="2592"/>
            <w:shd w:fill="FFFFFF"/>
            <w:tcMar>
              <w:top w:w="80" w:type="dxa"/>
              <w:bottom w:w="80" w:type="dxa"/>
              <w:left w:w="120" w:type="dxa"/>
              <w:right w:w="120" w:type="dxa"/>
            </w:tcMar>
          </w:tcPr>
          <w:p>
            <w:pPr>
              <w:spacing w:line="264" w:lineRule="auto"/>
            </w:pPr>
            <w:r>
              <w:rPr>
                <w:b/>
                <w:color w:val="16332E"/>
                <w:sz w:val="16"/>
              </w:rPr>
              <w:t>frontend/src/components/ReviewFormModal.jsx</w:t>
            </w:r>
          </w:p>
        </w:tc>
        <w:tc>
          <w:tcPr>
            <w:tcW w:type="dxa" w:w="3888"/>
            <w:shd w:fill="FFFFFF"/>
            <w:tcMar>
              <w:top w:w="80" w:type="dxa"/>
              <w:bottom w:w="80" w:type="dxa"/>
              <w:left w:w="120" w:type="dxa"/>
              <w:right w:w="120" w:type="dxa"/>
            </w:tcMar>
          </w:tcPr>
          <w:p>
            <w:pPr>
              <w:spacing w:line="264" w:lineRule="auto"/>
            </w:pPr>
            <w:r>
              <w:rPr>
                <w:color w:val="16332E"/>
                <w:sz w:val="16"/>
              </w:rPr>
              <w:t>• Replaced indigo styling with FixSquad brand modal and button tokens</w:t>
            </w:r>
          </w:p>
        </w:tc>
        <w:tc>
          <w:tcPr>
            <w:tcW w:type="dxa" w:w="3600"/>
            <w:shd w:fill="FFFFFF"/>
            <w:tcMar>
              <w:top w:w="80" w:type="dxa"/>
              <w:bottom w:w="80" w:type="dxa"/>
              <w:left w:w="120" w:type="dxa"/>
              <w:right w:w="120" w:type="dxa"/>
            </w:tcMar>
          </w:tcPr>
          <w:p>
            <w:pPr>
              <w:spacing w:line="264" w:lineRule="auto"/>
            </w:pPr>
            <w:r>
              <w:rPr>
                <w:color w:val="16332E"/>
                <w:sz w:val="16"/>
              </w:rPr>
              <w:t>Maintains system-wide aesthetic consistency.</w:t>
            </w:r>
          </w:p>
        </w:tc>
      </w:tr>
      <w:tr>
        <w:tc>
          <w:tcPr>
            <w:tcW w:type="dxa" w:w="2592"/>
            <w:shd w:fill="F4FBF7"/>
            <w:tcMar>
              <w:top w:w="80" w:type="dxa"/>
              <w:bottom w:w="80" w:type="dxa"/>
              <w:left w:w="120" w:type="dxa"/>
              <w:right w:w="120" w:type="dxa"/>
            </w:tcMar>
          </w:tcPr>
          <w:p>
            <w:pPr>
              <w:spacing w:line="264" w:lineRule="auto"/>
            </w:pPr>
            <w:r>
              <w:rPr>
                <w:b/>
                <w:color w:val="16332E"/>
                <w:sz w:val="16"/>
              </w:rPr>
              <w:t>frontend/src/pages/DashboardPage.jsx</w:t>
            </w:r>
          </w:p>
        </w:tc>
        <w:tc>
          <w:tcPr>
            <w:tcW w:type="dxa" w:w="3888"/>
            <w:shd w:fill="F4FBF7"/>
            <w:tcMar>
              <w:top w:w="80" w:type="dxa"/>
              <w:bottom w:w="80" w:type="dxa"/>
              <w:left w:w="120" w:type="dxa"/>
              <w:right w:w="120" w:type="dxa"/>
            </w:tcMar>
          </w:tcPr>
          <w:p>
            <w:pPr>
              <w:spacing w:line="264" w:lineRule="auto"/>
            </w:pPr>
            <w:r>
              <w:rPr>
                <w:color w:val="16332E"/>
                <w:sz w:val="16"/>
              </w:rPr>
              <w:t>• PRESERVED Admin Action Cards (Category &amp; Security)</w:t>
              <w:br/>
              <w:t>• Added Dispute Desk Action Card (/admin/disputes)</w:t>
              <w:br/>
              <w:t>• Upgraded all card icons to Lucide SVG icons (FolderKanban, ShieldCheck, Scale, Briefcase, CalendarCheck, Home, User)</w:t>
              <w:br/>
              <w:t>• Enhanced Provider &amp; Customer cards with dual action links</w:t>
            </w:r>
          </w:p>
        </w:tc>
        <w:tc>
          <w:tcPr>
            <w:tcW w:type="dxa" w:w="3600"/>
            <w:shd w:fill="F4FBF7"/>
            <w:tcMar>
              <w:top w:w="80" w:type="dxa"/>
              <w:bottom w:w="80" w:type="dxa"/>
              <w:left w:w="120" w:type="dxa"/>
              <w:right w:w="120" w:type="dxa"/>
            </w:tcMar>
          </w:tcPr>
          <w:p>
            <w:pPr>
              <w:spacing w:line="264" w:lineRule="auto"/>
            </w:pPr>
            <w:r>
              <w:rPr>
                <w:color w:val="16332E"/>
                <w:sz w:val="16"/>
              </w:rPr>
              <w:t>Ensures 100% admin feature coverage; stabilizes visual layout across Customer, Provider, and Admin views.</w:t>
            </w:r>
          </w:p>
        </w:tc>
      </w:tr>
      <w:tr>
        <w:tc>
          <w:tcPr>
            <w:tcW w:type="dxa" w:w="2592"/>
            <w:shd w:fill="FFFFFF"/>
            <w:tcMar>
              <w:top w:w="80" w:type="dxa"/>
              <w:bottom w:w="80" w:type="dxa"/>
              <w:left w:w="120" w:type="dxa"/>
              <w:right w:w="120" w:type="dxa"/>
            </w:tcMar>
          </w:tcPr>
          <w:p>
            <w:pPr>
              <w:spacing w:line="264" w:lineRule="auto"/>
            </w:pPr>
            <w:r>
              <w:rPr>
                <w:b/>
                <w:color w:val="16332E"/>
                <w:sz w:val="16"/>
              </w:rPr>
              <w:t>frontend/src/pages/ServicesPage.jsx</w:t>
            </w:r>
          </w:p>
        </w:tc>
        <w:tc>
          <w:tcPr>
            <w:tcW w:type="dxa" w:w="3888"/>
            <w:shd w:fill="FFFFFF"/>
            <w:tcMar>
              <w:top w:w="80" w:type="dxa"/>
              <w:bottom w:w="80" w:type="dxa"/>
              <w:left w:w="120" w:type="dxa"/>
              <w:right w:w="120" w:type="dxa"/>
            </w:tcMar>
          </w:tcPr>
          <w:p>
            <w:pPr>
              <w:spacing w:line="264" w:lineRule="auto"/>
            </w:pPr>
            <w:r>
              <w:rPr>
                <w:color w:val="16332E"/>
                <w:sz w:val="16"/>
              </w:rPr>
              <w:t>• Implemented dynamic Lucide category icon mapping (getCategoryIcon) resolving literal 'WRENCH' text issue</w:t>
              <w:br/>
              <w:t>• Fixed card spacing, title constraints, and provider row container</w:t>
              <w:br/>
              <w:t>• Linked provider names &amp; avatars to /provider/:providerId/profile using React Router Link</w:t>
            </w:r>
          </w:p>
        </w:tc>
        <w:tc>
          <w:tcPr>
            <w:tcW w:type="dxa" w:w="3600"/>
            <w:shd w:fill="FFFFFF"/>
            <w:tcMar>
              <w:top w:w="80" w:type="dxa"/>
              <w:bottom w:w="80" w:type="dxa"/>
              <w:left w:w="120" w:type="dxa"/>
              <w:right w:w="120" w:type="dxa"/>
            </w:tcMar>
          </w:tcPr>
          <w:p>
            <w:pPr>
              <w:spacing w:line="264" w:lineRule="auto"/>
            </w:pPr>
            <w:r>
              <w:rPr>
                <w:color w:val="16332E"/>
                <w:sz w:val="16"/>
              </w:rPr>
              <w:t>Resolves user-reported catalog card spacing defect and connects customer exploration directly to provider profiles.</w:t>
            </w:r>
          </w:p>
        </w:tc>
      </w:tr>
      <w:tr>
        <w:tc>
          <w:tcPr>
            <w:tcW w:type="dxa" w:w="2592"/>
            <w:shd w:fill="F4FBF7"/>
            <w:tcMar>
              <w:top w:w="80" w:type="dxa"/>
              <w:bottom w:w="80" w:type="dxa"/>
              <w:left w:w="120" w:type="dxa"/>
              <w:right w:w="120" w:type="dxa"/>
            </w:tcMar>
          </w:tcPr>
          <w:p>
            <w:pPr>
              <w:spacing w:line="264" w:lineRule="auto"/>
            </w:pPr>
            <w:r>
              <w:rPr>
                <w:b/>
                <w:color w:val="16332E"/>
                <w:sz w:val="16"/>
              </w:rPr>
              <w:t>frontend/src/pages/ProviderOperations.jsx</w:t>
            </w:r>
          </w:p>
        </w:tc>
        <w:tc>
          <w:tcPr>
            <w:tcW w:type="dxa" w:w="3888"/>
            <w:shd w:fill="F4FBF7"/>
            <w:tcMar>
              <w:top w:w="80" w:type="dxa"/>
              <w:bottom w:w="80" w:type="dxa"/>
              <w:left w:w="120" w:type="dxa"/>
              <w:right w:w="120" w:type="dxa"/>
            </w:tcMar>
          </w:tcPr>
          <w:p>
            <w:pPr>
              <w:spacing w:line="264" w:lineRule="auto"/>
            </w:pPr>
            <w:r>
              <w:rPr>
                <w:color w:val="16332E"/>
                <w:sz w:val="16"/>
              </w:rPr>
              <w:t>• Formatted raw total_price values to ৳{Number(b.total_price).toFixed(2)}</w:t>
            </w:r>
          </w:p>
        </w:tc>
        <w:tc>
          <w:tcPr>
            <w:tcW w:type="dxa" w:w="3600"/>
            <w:shd w:fill="F4FBF7"/>
            <w:tcMar>
              <w:top w:w="80" w:type="dxa"/>
              <w:bottom w:w="80" w:type="dxa"/>
              <w:left w:w="120" w:type="dxa"/>
              <w:right w:w="120" w:type="dxa"/>
            </w:tcMar>
          </w:tcPr>
          <w:p>
            <w:pPr>
              <w:spacing w:line="264" w:lineRule="auto"/>
            </w:pPr>
            <w:r>
              <w:rPr>
                <w:color w:val="16332E"/>
                <w:sz w:val="16"/>
              </w:rPr>
              <w:t>Consistent currency representation in incoming booking requests.</w:t>
            </w:r>
          </w:p>
        </w:tc>
      </w:tr>
      <w:tr>
        <w:tc>
          <w:tcPr>
            <w:tcW w:type="dxa" w:w="2592"/>
            <w:shd w:fill="FFFFFF"/>
            <w:tcMar>
              <w:top w:w="80" w:type="dxa"/>
              <w:bottom w:w="80" w:type="dxa"/>
              <w:left w:w="120" w:type="dxa"/>
              <w:right w:w="120" w:type="dxa"/>
            </w:tcMar>
          </w:tcPr>
          <w:p>
            <w:pPr>
              <w:spacing w:line="264" w:lineRule="auto"/>
            </w:pPr>
            <w:r>
              <w:rPr>
                <w:b/>
                <w:color w:val="16332E"/>
                <w:sz w:val="16"/>
              </w:rPr>
              <w:t>frontend/src/pages/AdminDisputeDesk.jsx</w:t>
            </w:r>
          </w:p>
        </w:tc>
        <w:tc>
          <w:tcPr>
            <w:tcW w:type="dxa" w:w="3888"/>
            <w:shd w:fill="FFFFFF"/>
            <w:tcMar>
              <w:top w:w="80" w:type="dxa"/>
              <w:bottom w:w="80" w:type="dxa"/>
              <w:left w:w="120" w:type="dxa"/>
              <w:right w:w="120" w:type="dxa"/>
            </w:tcMar>
          </w:tcPr>
          <w:p>
            <w:pPr>
              <w:spacing w:line="264" w:lineRule="auto"/>
            </w:pPr>
            <w:r>
              <w:rPr>
                <w:color w:val="16332E"/>
                <w:sz w:val="16"/>
              </w:rPr>
              <w:t>• Standardized dispute rows with .brand-table tokens</w:t>
              <w:br/>
              <w:t>• Upgraded empty state and action buttons with Lucide SVG icons</w:t>
            </w:r>
          </w:p>
        </w:tc>
        <w:tc>
          <w:tcPr>
            <w:tcW w:type="dxa" w:w="3600"/>
            <w:shd w:fill="FFFFFF"/>
            <w:tcMar>
              <w:top w:w="80" w:type="dxa"/>
              <w:bottom w:w="80" w:type="dxa"/>
              <w:left w:w="120" w:type="dxa"/>
              <w:right w:w="120" w:type="dxa"/>
            </w:tcMar>
          </w:tcPr>
          <w:p>
            <w:pPr>
              <w:spacing w:line="264" w:lineRule="auto"/>
            </w:pPr>
            <w:r>
              <w:rPr>
                <w:color w:val="16332E"/>
                <w:sz w:val="16"/>
              </w:rPr>
              <w:t>Consistent styling and clear dispute settlement management.</w:t>
            </w:r>
          </w:p>
        </w:tc>
      </w:tr>
      <w:tr>
        <w:tc>
          <w:tcPr>
            <w:tcW w:type="dxa" w:w="2592"/>
            <w:shd w:fill="F4FBF7"/>
            <w:tcMar>
              <w:top w:w="80" w:type="dxa"/>
              <w:bottom w:w="80" w:type="dxa"/>
              <w:left w:w="120" w:type="dxa"/>
              <w:right w:w="120" w:type="dxa"/>
            </w:tcMar>
          </w:tcPr>
          <w:p>
            <w:pPr>
              <w:spacing w:line="264" w:lineRule="auto"/>
            </w:pPr>
            <w:r>
              <w:rPr>
                <w:b/>
                <w:color w:val="16332E"/>
                <w:sz w:val="16"/>
              </w:rPr>
              <w:t>frontend/src/pages/AdminSecurityDashboard.jsx</w:t>
            </w:r>
          </w:p>
        </w:tc>
        <w:tc>
          <w:tcPr>
            <w:tcW w:type="dxa" w:w="3888"/>
            <w:shd w:fill="F4FBF7"/>
            <w:tcMar>
              <w:top w:w="80" w:type="dxa"/>
              <w:bottom w:w="80" w:type="dxa"/>
              <w:left w:w="120" w:type="dxa"/>
              <w:right w:w="120" w:type="dxa"/>
            </w:tcMar>
          </w:tcPr>
          <w:p>
            <w:pPr>
              <w:spacing w:line="264" w:lineRule="auto"/>
            </w:pPr>
            <w:r>
              <w:rPr>
                <w:color w:val="16332E"/>
                <w:sz w:val="16"/>
              </w:rPr>
              <w:t>• Added overflowX: 'auto' containers around Verification and Access Control tables</w:t>
              <w:br/>
              <w:t>• Replaced unicode characters in toasts and empty state with Lucide SVG icons</w:t>
            </w:r>
          </w:p>
        </w:tc>
        <w:tc>
          <w:tcPr>
            <w:tcW w:type="dxa" w:w="3600"/>
            <w:shd w:fill="F4FBF7"/>
            <w:tcMar>
              <w:top w:w="80" w:type="dxa"/>
              <w:bottom w:w="80" w:type="dxa"/>
              <w:left w:w="120" w:type="dxa"/>
              <w:right w:w="120" w:type="dxa"/>
            </w:tcMar>
          </w:tcPr>
          <w:p>
            <w:pPr>
              <w:spacing w:line="264" w:lineRule="auto"/>
            </w:pPr>
            <w:r>
              <w:rPr>
                <w:color w:val="16332E"/>
                <w:sz w:val="16"/>
              </w:rPr>
              <w:t>Prevents wide tables from causing horizontal blowout and unifies icon system.</w:t>
            </w:r>
          </w:p>
        </w:tc>
      </w:tr>
      <w:tr>
        <w:tc>
          <w:tcPr>
            <w:tcW w:type="dxa" w:w="2592"/>
            <w:shd w:fill="FFFFFF"/>
            <w:tcMar>
              <w:top w:w="80" w:type="dxa"/>
              <w:bottom w:w="80" w:type="dxa"/>
              <w:left w:w="120" w:type="dxa"/>
              <w:right w:w="120" w:type="dxa"/>
            </w:tcMar>
          </w:tcPr>
          <w:p>
            <w:pPr>
              <w:spacing w:line="264" w:lineRule="auto"/>
            </w:pPr>
            <w:r>
              <w:rPr>
                <w:b/>
                <w:color w:val="16332E"/>
                <w:sz w:val="16"/>
              </w:rPr>
              <w:t>frontend/src/components/ServiceList.jsx</w:t>
            </w:r>
          </w:p>
        </w:tc>
        <w:tc>
          <w:tcPr>
            <w:tcW w:type="dxa" w:w="3888"/>
            <w:shd w:fill="FFFFFF"/>
            <w:tcMar>
              <w:top w:w="80" w:type="dxa"/>
              <w:bottom w:w="80" w:type="dxa"/>
              <w:left w:w="120" w:type="dxa"/>
              <w:right w:w="120" w:type="dxa"/>
            </w:tcMar>
          </w:tcPr>
          <w:p>
            <w:pPr>
              <w:spacing w:line="264" w:lineRule="auto"/>
            </w:pPr>
            <w:r>
              <w:rPr>
                <w:color w:val="16332E"/>
                <w:sz w:val="16"/>
              </w:rPr>
              <w:t>• Replaced unicode emoji in portfolio empty state with Lucide Wrench icon</w:t>
            </w:r>
          </w:p>
        </w:tc>
        <w:tc>
          <w:tcPr>
            <w:tcW w:type="dxa" w:w="3600"/>
            <w:shd w:fill="FFFFFF"/>
            <w:tcMar>
              <w:top w:w="80" w:type="dxa"/>
              <w:bottom w:w="80" w:type="dxa"/>
              <w:left w:w="120" w:type="dxa"/>
              <w:right w:w="120" w:type="dxa"/>
            </w:tcMar>
          </w:tcPr>
          <w:p>
            <w:pPr>
              <w:spacing w:line="264" w:lineRule="auto"/>
            </w:pPr>
            <w:r>
              <w:rPr>
                <w:color w:val="16332E"/>
                <w:sz w:val="16"/>
              </w:rPr>
              <w:t>Uniform iconography adherence across provider portfolio.</w:t>
            </w:r>
          </w:p>
        </w:tc>
      </w:tr>
    </w:tbl>
    <w:p>
      <w:pPr>
        <w:spacing w:before="200"/>
      </w:pPr>
    </w:p>
    <w:p>
      <w:pPr>
        <w:pStyle w:val="Heading1"/>
        <w:spacing w:before="240" w:after="120"/>
      </w:pPr>
      <w:r>
        <w:rPr>
          <w:b/>
          <w:color w:val="123F36"/>
          <w:sz w:val="27"/>
        </w:rPr>
        <w:t>4. Verified Application Route &amp; Access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123F36"/>
            <w:tcMar>
              <w:top w:w="90" w:type="dxa"/>
              <w:bottom w:w="90" w:type="dxa"/>
              <w:left w:w="100" w:type="dxa"/>
              <w:right w:w="100" w:type="dxa"/>
            </w:tcMar>
          </w:tcPr>
          <w:p>
            <w:r>
              <w:rPr>
                <w:b/>
                <w:color w:val="FFFFFF"/>
                <w:sz w:val="18"/>
              </w:rPr>
              <w:t>Route Path</w:t>
            </w:r>
          </w:p>
        </w:tc>
        <w:tc>
          <w:tcPr>
            <w:tcW w:type="dxa" w:w="2592"/>
            <w:shd w:fill="123F36"/>
            <w:tcMar>
              <w:top w:w="90" w:type="dxa"/>
              <w:bottom w:w="90" w:type="dxa"/>
              <w:left w:w="100" w:type="dxa"/>
              <w:right w:w="100" w:type="dxa"/>
            </w:tcMar>
          </w:tcPr>
          <w:p>
            <w:r>
              <w:rPr>
                <w:b/>
                <w:color w:val="FFFFFF"/>
                <w:sz w:val="18"/>
              </w:rPr>
              <w:t>Component</w:t>
            </w:r>
          </w:p>
        </w:tc>
        <w:tc>
          <w:tcPr>
            <w:tcW w:type="dxa" w:w="1872"/>
            <w:shd w:fill="123F36"/>
            <w:tcMar>
              <w:top w:w="90" w:type="dxa"/>
              <w:bottom w:w="90" w:type="dxa"/>
              <w:left w:w="100" w:type="dxa"/>
              <w:right w:w="100" w:type="dxa"/>
            </w:tcMar>
          </w:tcPr>
          <w:p>
            <w:r>
              <w:rPr>
                <w:b/>
                <w:color w:val="FFFFFF"/>
                <w:sz w:val="18"/>
              </w:rPr>
              <w:t>Role Access</w:t>
            </w:r>
          </w:p>
        </w:tc>
        <w:tc>
          <w:tcPr>
            <w:tcW w:type="dxa" w:w="3024"/>
            <w:shd w:fill="123F36"/>
            <w:tcMar>
              <w:top w:w="90" w:type="dxa"/>
              <w:bottom w:w="90" w:type="dxa"/>
              <w:left w:w="100" w:type="dxa"/>
              <w:right w:w="100" w:type="dxa"/>
            </w:tcMar>
          </w:tcPr>
          <w:p>
            <w:r>
              <w:rPr>
                <w:b/>
                <w:color w:val="FFFFFF"/>
                <w:sz w:val="18"/>
              </w:rPr>
              <w:t>Verification Note</w:t>
            </w:r>
          </w:p>
        </w:tc>
      </w:tr>
      <w:tr>
        <w:tc>
          <w:tcPr>
            <w:tcW w:type="dxa" w:w="2592"/>
            <w:shd w:fill="FFFFFF"/>
            <w:tcMar>
              <w:top w:w="75" w:type="dxa"/>
              <w:bottom w:w="75" w:type="dxa"/>
              <w:left w:w="100" w:type="dxa"/>
              <w:right w:w="100" w:type="dxa"/>
            </w:tcMar>
          </w:tcPr>
          <w:p>
            <w:r>
              <w:rPr>
                <w:b/>
                <w:color w:val="16332E"/>
                <w:sz w:val="16"/>
              </w:rPr>
              <w:t>/</w:t>
            </w:r>
          </w:p>
        </w:tc>
        <w:tc>
          <w:tcPr>
            <w:tcW w:type="dxa" w:w="2592"/>
            <w:shd w:fill="FFFFFF"/>
            <w:tcMar>
              <w:top w:w="75" w:type="dxa"/>
              <w:bottom w:w="75" w:type="dxa"/>
              <w:left w:w="100" w:type="dxa"/>
              <w:right w:w="100" w:type="dxa"/>
            </w:tcMar>
          </w:tcPr>
          <w:p>
            <w:r>
              <w:rPr>
                <w:color w:val="16332E"/>
                <w:sz w:val="16"/>
              </w:rPr>
              <w:t>HomePage</w:t>
            </w:r>
          </w:p>
        </w:tc>
        <w:tc>
          <w:tcPr>
            <w:tcW w:type="dxa" w:w="1872"/>
            <w:shd w:fill="FFFFFF"/>
            <w:tcMar>
              <w:top w:w="75" w:type="dxa"/>
              <w:bottom w:w="75" w:type="dxa"/>
              <w:left w:w="100" w:type="dxa"/>
              <w:right w:w="100" w:type="dxa"/>
            </w:tcMar>
          </w:tcPr>
          <w:p>
            <w:r>
              <w:rPr>
                <w:color w:val="16332E"/>
                <w:sz w:val="16"/>
              </w:rPr>
              <w:t>Public</w:t>
            </w:r>
          </w:p>
        </w:tc>
        <w:tc>
          <w:tcPr>
            <w:tcW w:type="dxa" w:w="3024"/>
            <w:shd w:fill="FFFFFF"/>
            <w:tcMar>
              <w:top w:w="75" w:type="dxa"/>
              <w:bottom w:w="75" w:type="dxa"/>
              <w:left w:w="100" w:type="dxa"/>
              <w:right w:w="100" w:type="dxa"/>
            </w:tcMar>
          </w:tcPr>
          <w:p>
            <w:r>
              <w:rPr>
                <w:color w:val="16332E"/>
                <w:sz w:val="16"/>
              </w:rPr>
              <w:t>Accessible to all visitors; responsive hero and features</w:t>
            </w:r>
          </w:p>
        </w:tc>
      </w:tr>
      <w:tr>
        <w:tc>
          <w:tcPr>
            <w:tcW w:type="dxa" w:w="2592"/>
            <w:shd w:fill="F4FBF7"/>
            <w:tcMar>
              <w:top w:w="75" w:type="dxa"/>
              <w:bottom w:w="75" w:type="dxa"/>
              <w:left w:w="100" w:type="dxa"/>
              <w:right w:w="100" w:type="dxa"/>
            </w:tcMar>
          </w:tcPr>
          <w:p>
            <w:r>
              <w:rPr>
                <w:b/>
                <w:color w:val="16332E"/>
                <w:sz w:val="16"/>
              </w:rPr>
              <w:t>/login</w:t>
            </w:r>
          </w:p>
        </w:tc>
        <w:tc>
          <w:tcPr>
            <w:tcW w:type="dxa" w:w="2592"/>
            <w:shd w:fill="F4FBF7"/>
            <w:tcMar>
              <w:top w:w="75" w:type="dxa"/>
              <w:bottom w:w="75" w:type="dxa"/>
              <w:left w:w="100" w:type="dxa"/>
              <w:right w:w="100" w:type="dxa"/>
            </w:tcMar>
          </w:tcPr>
          <w:p>
            <w:r>
              <w:rPr>
                <w:color w:val="16332E"/>
                <w:sz w:val="16"/>
              </w:rPr>
              <w:t>LoginPage</w:t>
            </w:r>
          </w:p>
        </w:tc>
        <w:tc>
          <w:tcPr>
            <w:tcW w:type="dxa" w:w="1872"/>
            <w:shd w:fill="F4FBF7"/>
            <w:tcMar>
              <w:top w:w="75" w:type="dxa"/>
              <w:bottom w:w="75" w:type="dxa"/>
              <w:left w:w="100" w:type="dxa"/>
              <w:right w:w="100" w:type="dxa"/>
            </w:tcMar>
          </w:tcPr>
          <w:p>
            <w:r>
              <w:rPr>
                <w:color w:val="16332E"/>
                <w:sz w:val="16"/>
              </w:rPr>
              <w:t>Public / Guest</w:t>
            </w:r>
          </w:p>
        </w:tc>
        <w:tc>
          <w:tcPr>
            <w:tcW w:type="dxa" w:w="3024"/>
            <w:shd w:fill="F4FBF7"/>
            <w:tcMar>
              <w:top w:w="75" w:type="dxa"/>
              <w:bottom w:w="75" w:type="dxa"/>
              <w:left w:w="100" w:type="dxa"/>
              <w:right w:w="100" w:type="dxa"/>
            </w:tcMar>
          </w:tcPr>
          <w:p>
            <w:r>
              <w:rPr>
                <w:color w:val="16332E"/>
                <w:sz w:val="16"/>
              </w:rPr>
              <w:t>User authentication form with brand split-screen</w:t>
            </w:r>
          </w:p>
        </w:tc>
      </w:tr>
      <w:tr>
        <w:tc>
          <w:tcPr>
            <w:tcW w:type="dxa" w:w="2592"/>
            <w:shd w:fill="FFFFFF"/>
            <w:tcMar>
              <w:top w:w="75" w:type="dxa"/>
              <w:bottom w:w="75" w:type="dxa"/>
              <w:left w:w="100" w:type="dxa"/>
              <w:right w:w="100" w:type="dxa"/>
            </w:tcMar>
          </w:tcPr>
          <w:p>
            <w:r>
              <w:rPr>
                <w:b/>
                <w:color w:val="16332E"/>
                <w:sz w:val="16"/>
              </w:rPr>
              <w:t>/register</w:t>
            </w:r>
          </w:p>
        </w:tc>
        <w:tc>
          <w:tcPr>
            <w:tcW w:type="dxa" w:w="2592"/>
            <w:shd w:fill="FFFFFF"/>
            <w:tcMar>
              <w:top w:w="75" w:type="dxa"/>
              <w:bottom w:w="75" w:type="dxa"/>
              <w:left w:w="100" w:type="dxa"/>
              <w:right w:w="100" w:type="dxa"/>
            </w:tcMar>
          </w:tcPr>
          <w:p>
            <w:r>
              <w:rPr>
                <w:color w:val="16332E"/>
                <w:sz w:val="16"/>
              </w:rPr>
              <w:t>RegisterPage</w:t>
            </w:r>
          </w:p>
        </w:tc>
        <w:tc>
          <w:tcPr>
            <w:tcW w:type="dxa" w:w="1872"/>
            <w:shd w:fill="FFFFFF"/>
            <w:tcMar>
              <w:top w:w="75" w:type="dxa"/>
              <w:bottom w:w="75" w:type="dxa"/>
              <w:left w:w="100" w:type="dxa"/>
              <w:right w:w="100" w:type="dxa"/>
            </w:tcMar>
          </w:tcPr>
          <w:p>
            <w:r>
              <w:rPr>
                <w:color w:val="16332E"/>
                <w:sz w:val="16"/>
              </w:rPr>
              <w:t>Public / Guest</w:t>
            </w:r>
          </w:p>
        </w:tc>
        <w:tc>
          <w:tcPr>
            <w:tcW w:type="dxa" w:w="3024"/>
            <w:shd w:fill="FFFFFF"/>
            <w:tcMar>
              <w:top w:w="75" w:type="dxa"/>
              <w:bottom w:w="75" w:type="dxa"/>
              <w:left w:w="100" w:type="dxa"/>
              <w:right w:w="100" w:type="dxa"/>
            </w:tcMar>
          </w:tcPr>
          <w:p>
            <w:r>
              <w:rPr>
                <w:color w:val="16332E"/>
                <w:sz w:val="16"/>
              </w:rPr>
              <w:t>Customer &amp; provider registration with role toggle</w:t>
            </w:r>
          </w:p>
        </w:tc>
      </w:tr>
      <w:tr>
        <w:tc>
          <w:tcPr>
            <w:tcW w:type="dxa" w:w="2592"/>
            <w:shd w:fill="F4FBF7"/>
            <w:tcMar>
              <w:top w:w="75" w:type="dxa"/>
              <w:bottom w:w="75" w:type="dxa"/>
              <w:left w:w="100" w:type="dxa"/>
              <w:right w:w="100" w:type="dxa"/>
            </w:tcMar>
          </w:tcPr>
          <w:p>
            <w:r>
              <w:rPr>
                <w:b/>
                <w:color w:val="16332E"/>
                <w:sz w:val="16"/>
              </w:rPr>
              <w:t>/services</w:t>
            </w:r>
          </w:p>
        </w:tc>
        <w:tc>
          <w:tcPr>
            <w:tcW w:type="dxa" w:w="2592"/>
            <w:shd w:fill="F4FBF7"/>
            <w:tcMar>
              <w:top w:w="75" w:type="dxa"/>
              <w:bottom w:w="75" w:type="dxa"/>
              <w:left w:w="100" w:type="dxa"/>
              <w:right w:w="100" w:type="dxa"/>
            </w:tcMar>
          </w:tcPr>
          <w:p>
            <w:r>
              <w:rPr>
                <w:color w:val="16332E"/>
                <w:sz w:val="16"/>
              </w:rPr>
              <w:t>ServicesPage</w:t>
            </w:r>
          </w:p>
        </w:tc>
        <w:tc>
          <w:tcPr>
            <w:tcW w:type="dxa" w:w="1872"/>
            <w:shd w:fill="F4FBF7"/>
            <w:tcMar>
              <w:top w:w="75" w:type="dxa"/>
              <w:bottom w:w="75" w:type="dxa"/>
              <w:left w:w="100" w:type="dxa"/>
              <w:right w:w="100" w:type="dxa"/>
            </w:tcMar>
          </w:tcPr>
          <w:p>
            <w:r>
              <w:rPr>
                <w:color w:val="16332E"/>
                <w:sz w:val="16"/>
              </w:rPr>
              <w:t>Public / All Roles</w:t>
            </w:r>
          </w:p>
        </w:tc>
        <w:tc>
          <w:tcPr>
            <w:tcW w:type="dxa" w:w="3024"/>
            <w:shd w:fill="F4FBF7"/>
            <w:tcMar>
              <w:top w:w="75" w:type="dxa"/>
              <w:bottom w:w="75" w:type="dxa"/>
              <w:left w:w="100" w:type="dxa"/>
              <w:right w:w="100" w:type="dxa"/>
            </w:tcMar>
          </w:tcPr>
          <w:p>
            <w:r>
              <w:rPr>
                <w:color w:val="16332E"/>
                <w:sz w:val="16"/>
              </w:rPr>
              <w:t>Dynamic service search, category filter, and booking engine</w:t>
            </w:r>
          </w:p>
        </w:tc>
      </w:tr>
      <w:tr>
        <w:tc>
          <w:tcPr>
            <w:tcW w:type="dxa" w:w="2592"/>
            <w:shd w:fill="FFFFFF"/>
            <w:tcMar>
              <w:top w:w="75" w:type="dxa"/>
              <w:bottom w:w="75" w:type="dxa"/>
              <w:left w:w="100" w:type="dxa"/>
              <w:right w:w="100" w:type="dxa"/>
            </w:tcMar>
          </w:tcPr>
          <w:p>
            <w:r>
              <w:rPr>
                <w:b/>
                <w:color w:val="16332E"/>
                <w:sz w:val="16"/>
              </w:rPr>
              <w:t>/provider/:providerId/profile</w:t>
            </w:r>
          </w:p>
        </w:tc>
        <w:tc>
          <w:tcPr>
            <w:tcW w:type="dxa" w:w="2592"/>
            <w:shd w:fill="FFFFFF"/>
            <w:tcMar>
              <w:top w:w="75" w:type="dxa"/>
              <w:bottom w:w="75" w:type="dxa"/>
              <w:left w:w="100" w:type="dxa"/>
              <w:right w:w="100" w:type="dxa"/>
            </w:tcMar>
          </w:tcPr>
          <w:p>
            <w:r>
              <w:rPr>
                <w:color w:val="16332E"/>
                <w:sz w:val="16"/>
              </w:rPr>
              <w:t>ProviderPublicProfile</w:t>
            </w:r>
          </w:p>
        </w:tc>
        <w:tc>
          <w:tcPr>
            <w:tcW w:type="dxa" w:w="1872"/>
            <w:shd w:fill="FFFFFF"/>
            <w:tcMar>
              <w:top w:w="75" w:type="dxa"/>
              <w:bottom w:w="75" w:type="dxa"/>
              <w:left w:w="100" w:type="dxa"/>
              <w:right w:w="100" w:type="dxa"/>
            </w:tcMar>
          </w:tcPr>
          <w:p>
            <w:r>
              <w:rPr>
                <w:color w:val="16332E"/>
                <w:sz w:val="16"/>
              </w:rPr>
              <w:t>Public</w:t>
            </w:r>
          </w:p>
        </w:tc>
        <w:tc>
          <w:tcPr>
            <w:tcW w:type="dxa" w:w="3024"/>
            <w:shd w:fill="FFFFFF"/>
            <w:tcMar>
              <w:top w:w="75" w:type="dxa"/>
              <w:bottom w:w="75" w:type="dxa"/>
              <w:left w:w="100" w:type="dxa"/>
              <w:right w:w="100" w:type="dxa"/>
            </w:tcMar>
          </w:tcPr>
          <w:p>
            <w:r>
              <w:rPr>
                <w:color w:val="16332E"/>
                <w:sz w:val="16"/>
              </w:rPr>
              <w:t>Public provider profile, services, and 5-star customer reviews</w:t>
            </w:r>
          </w:p>
        </w:tc>
      </w:tr>
      <w:tr>
        <w:tc>
          <w:tcPr>
            <w:tcW w:type="dxa" w:w="2592"/>
            <w:shd w:fill="F4FBF7"/>
            <w:tcMar>
              <w:top w:w="75" w:type="dxa"/>
              <w:bottom w:w="75" w:type="dxa"/>
              <w:left w:w="100" w:type="dxa"/>
              <w:right w:w="100" w:type="dxa"/>
            </w:tcMar>
          </w:tcPr>
          <w:p>
            <w:r>
              <w:rPr>
                <w:b/>
                <w:color w:val="16332E"/>
                <w:sz w:val="16"/>
              </w:rPr>
              <w:t>/dashboard</w:t>
            </w:r>
          </w:p>
        </w:tc>
        <w:tc>
          <w:tcPr>
            <w:tcW w:type="dxa" w:w="2592"/>
            <w:shd w:fill="F4FBF7"/>
            <w:tcMar>
              <w:top w:w="75" w:type="dxa"/>
              <w:bottom w:w="75" w:type="dxa"/>
              <w:left w:w="100" w:type="dxa"/>
              <w:right w:w="100" w:type="dxa"/>
            </w:tcMar>
          </w:tcPr>
          <w:p>
            <w:r>
              <w:rPr>
                <w:color w:val="16332E"/>
                <w:sz w:val="16"/>
              </w:rPr>
              <w:t>DashboardPage</w:t>
            </w:r>
          </w:p>
        </w:tc>
        <w:tc>
          <w:tcPr>
            <w:tcW w:type="dxa" w:w="1872"/>
            <w:shd w:fill="F4FBF7"/>
            <w:tcMar>
              <w:top w:w="75" w:type="dxa"/>
              <w:bottom w:w="75" w:type="dxa"/>
              <w:left w:w="100" w:type="dxa"/>
              <w:right w:w="100" w:type="dxa"/>
            </w:tcMar>
          </w:tcPr>
          <w:p>
            <w:r>
              <w:rPr>
                <w:color w:val="16332E"/>
                <w:sz w:val="16"/>
              </w:rPr>
              <w:t>Authenticated</w:t>
            </w:r>
          </w:p>
        </w:tc>
        <w:tc>
          <w:tcPr>
            <w:tcW w:type="dxa" w:w="3024"/>
            <w:shd w:fill="F4FBF7"/>
            <w:tcMar>
              <w:top w:w="75" w:type="dxa"/>
              <w:bottom w:w="75" w:type="dxa"/>
              <w:left w:w="100" w:type="dxa"/>
              <w:right w:w="100" w:type="dxa"/>
            </w:tcMar>
          </w:tcPr>
          <w:p>
            <w:r>
              <w:rPr>
                <w:color w:val="16332E"/>
                <w:sz w:val="16"/>
              </w:rPr>
              <w:t>Role-aware landing dashboard with stabilized auto-fit grid</w:t>
            </w:r>
          </w:p>
        </w:tc>
      </w:tr>
      <w:tr>
        <w:tc>
          <w:tcPr>
            <w:tcW w:type="dxa" w:w="2592"/>
            <w:shd w:fill="FFFFFF"/>
            <w:tcMar>
              <w:top w:w="75" w:type="dxa"/>
              <w:bottom w:w="75" w:type="dxa"/>
              <w:left w:w="100" w:type="dxa"/>
              <w:right w:w="100" w:type="dxa"/>
            </w:tcMar>
          </w:tcPr>
          <w:p>
            <w:r>
              <w:rPr>
                <w:b/>
                <w:color w:val="16332E"/>
                <w:sz w:val="16"/>
              </w:rPr>
              <w:t>/customer/bookings</w:t>
            </w:r>
          </w:p>
        </w:tc>
        <w:tc>
          <w:tcPr>
            <w:tcW w:type="dxa" w:w="2592"/>
            <w:shd w:fill="FFFFFF"/>
            <w:tcMar>
              <w:top w:w="75" w:type="dxa"/>
              <w:bottom w:w="75" w:type="dxa"/>
              <w:left w:w="100" w:type="dxa"/>
              <w:right w:w="100" w:type="dxa"/>
            </w:tcMar>
          </w:tcPr>
          <w:p>
            <w:r>
              <w:rPr>
                <w:color w:val="16332E"/>
                <w:sz w:val="16"/>
              </w:rPr>
              <w:t>CustomerBookingDashboard</w:t>
            </w:r>
          </w:p>
        </w:tc>
        <w:tc>
          <w:tcPr>
            <w:tcW w:type="dxa" w:w="1872"/>
            <w:shd w:fill="FFFFFF"/>
            <w:tcMar>
              <w:top w:w="75" w:type="dxa"/>
              <w:bottom w:w="75" w:type="dxa"/>
              <w:left w:w="100" w:type="dxa"/>
              <w:right w:w="100" w:type="dxa"/>
            </w:tcMar>
          </w:tcPr>
          <w:p>
            <w:r>
              <w:rPr>
                <w:color w:val="16332E"/>
                <w:sz w:val="16"/>
              </w:rPr>
              <w:t>Customer</w:t>
            </w:r>
          </w:p>
        </w:tc>
        <w:tc>
          <w:tcPr>
            <w:tcW w:type="dxa" w:w="3024"/>
            <w:shd w:fill="FFFFFF"/>
            <w:tcMar>
              <w:top w:w="75" w:type="dxa"/>
              <w:bottom w:w="75" w:type="dxa"/>
              <w:left w:w="100" w:type="dxa"/>
              <w:right w:w="100" w:type="dxa"/>
            </w:tcMar>
          </w:tcPr>
          <w:p>
            <w:r>
              <w:rPr>
                <w:color w:val="16332E"/>
                <w:sz w:val="16"/>
              </w:rPr>
              <w:t>4-column interactive Kanban board (Pending to Completed)</w:t>
            </w:r>
          </w:p>
        </w:tc>
      </w:tr>
      <w:tr>
        <w:tc>
          <w:tcPr>
            <w:tcW w:type="dxa" w:w="2592"/>
            <w:shd w:fill="F4FBF7"/>
            <w:tcMar>
              <w:top w:w="75" w:type="dxa"/>
              <w:bottom w:w="75" w:type="dxa"/>
              <w:left w:w="100" w:type="dxa"/>
              <w:right w:w="100" w:type="dxa"/>
            </w:tcMar>
          </w:tcPr>
          <w:p>
            <w:r>
              <w:rPr>
                <w:b/>
                <w:color w:val="16332E"/>
                <w:sz w:val="16"/>
              </w:rPr>
              <w:t>/provider/portfolio</w:t>
            </w:r>
          </w:p>
        </w:tc>
        <w:tc>
          <w:tcPr>
            <w:tcW w:type="dxa" w:w="2592"/>
            <w:shd w:fill="F4FBF7"/>
            <w:tcMar>
              <w:top w:w="75" w:type="dxa"/>
              <w:bottom w:w="75" w:type="dxa"/>
              <w:left w:w="100" w:type="dxa"/>
              <w:right w:w="100" w:type="dxa"/>
            </w:tcMar>
          </w:tcPr>
          <w:p>
            <w:r>
              <w:rPr>
                <w:color w:val="16332E"/>
                <w:sz w:val="16"/>
              </w:rPr>
              <w:t>ProviderPortfolio</w:t>
            </w:r>
          </w:p>
        </w:tc>
        <w:tc>
          <w:tcPr>
            <w:tcW w:type="dxa" w:w="1872"/>
            <w:shd w:fill="F4FBF7"/>
            <w:tcMar>
              <w:top w:w="75" w:type="dxa"/>
              <w:bottom w:w="75" w:type="dxa"/>
              <w:left w:w="100" w:type="dxa"/>
              <w:right w:w="100" w:type="dxa"/>
            </w:tcMar>
          </w:tcPr>
          <w:p>
            <w:r>
              <w:rPr>
                <w:color w:val="16332E"/>
                <w:sz w:val="16"/>
              </w:rPr>
              <w:t>Provider</w:t>
            </w:r>
          </w:p>
        </w:tc>
        <w:tc>
          <w:tcPr>
            <w:tcW w:type="dxa" w:w="3024"/>
            <w:shd w:fill="F4FBF7"/>
            <w:tcMar>
              <w:top w:w="75" w:type="dxa"/>
              <w:bottom w:w="75" w:type="dxa"/>
              <w:left w:w="100" w:type="dxa"/>
              <w:right w:w="100" w:type="dxa"/>
            </w:tcMar>
          </w:tcPr>
          <w:p>
            <w:r>
              <w:rPr>
                <w:color w:val="16332E"/>
                <w:sz w:val="16"/>
              </w:rPr>
              <w:t>Manage provider service portfolio &amp; base rates</w:t>
            </w:r>
          </w:p>
        </w:tc>
      </w:tr>
      <w:tr>
        <w:tc>
          <w:tcPr>
            <w:tcW w:type="dxa" w:w="2592"/>
            <w:shd w:fill="FFFFFF"/>
            <w:tcMar>
              <w:top w:w="75" w:type="dxa"/>
              <w:bottom w:w="75" w:type="dxa"/>
              <w:left w:w="100" w:type="dxa"/>
              <w:right w:w="100" w:type="dxa"/>
            </w:tcMar>
          </w:tcPr>
          <w:p>
            <w:r>
              <w:rPr>
                <w:b/>
                <w:color w:val="16332E"/>
                <w:sz w:val="16"/>
              </w:rPr>
              <w:t>/provider/operations</w:t>
            </w:r>
          </w:p>
        </w:tc>
        <w:tc>
          <w:tcPr>
            <w:tcW w:type="dxa" w:w="2592"/>
            <w:shd w:fill="FFFFFF"/>
            <w:tcMar>
              <w:top w:w="75" w:type="dxa"/>
              <w:bottom w:w="75" w:type="dxa"/>
              <w:left w:w="100" w:type="dxa"/>
              <w:right w:w="100" w:type="dxa"/>
            </w:tcMar>
          </w:tcPr>
          <w:p>
            <w:r>
              <w:rPr>
                <w:color w:val="16332E"/>
                <w:sz w:val="16"/>
              </w:rPr>
              <w:t>ProviderOperations</w:t>
            </w:r>
          </w:p>
        </w:tc>
        <w:tc>
          <w:tcPr>
            <w:tcW w:type="dxa" w:w="1872"/>
            <w:shd w:fill="FFFFFF"/>
            <w:tcMar>
              <w:top w:w="75" w:type="dxa"/>
              <w:bottom w:w="75" w:type="dxa"/>
              <w:left w:w="100" w:type="dxa"/>
              <w:right w:w="100" w:type="dxa"/>
            </w:tcMar>
          </w:tcPr>
          <w:p>
            <w:r>
              <w:rPr>
                <w:color w:val="16332E"/>
                <w:sz w:val="16"/>
              </w:rPr>
              <w:t>Provider</w:t>
            </w:r>
          </w:p>
        </w:tc>
        <w:tc>
          <w:tcPr>
            <w:tcW w:type="dxa" w:w="3024"/>
            <w:shd w:fill="FFFFFF"/>
            <w:tcMar>
              <w:top w:w="75" w:type="dxa"/>
              <w:bottom w:w="75" w:type="dxa"/>
              <w:left w:w="100" w:type="dxa"/>
              <w:right w:w="100" w:type="dxa"/>
            </w:tcMar>
          </w:tcPr>
          <w:p>
            <w:r>
              <w:rPr>
                <w:color w:val="16332E"/>
                <w:sz w:val="16"/>
              </w:rPr>
              <w:t>Incoming booking requests &amp; availability calendar</w:t>
            </w:r>
          </w:p>
        </w:tc>
      </w:tr>
      <w:tr>
        <w:tc>
          <w:tcPr>
            <w:tcW w:type="dxa" w:w="2592"/>
            <w:shd w:fill="F4FBF7"/>
            <w:tcMar>
              <w:top w:w="75" w:type="dxa"/>
              <w:bottom w:w="75" w:type="dxa"/>
              <w:left w:w="100" w:type="dxa"/>
              <w:right w:w="100" w:type="dxa"/>
            </w:tcMar>
          </w:tcPr>
          <w:p>
            <w:r>
              <w:rPr>
                <w:b/>
                <w:color w:val="16332E"/>
                <w:sz w:val="16"/>
              </w:rPr>
              <w:t>/provider/jobs</w:t>
            </w:r>
          </w:p>
        </w:tc>
        <w:tc>
          <w:tcPr>
            <w:tcW w:type="dxa" w:w="2592"/>
            <w:shd w:fill="F4FBF7"/>
            <w:tcMar>
              <w:top w:w="75" w:type="dxa"/>
              <w:bottom w:w="75" w:type="dxa"/>
              <w:left w:w="100" w:type="dxa"/>
              <w:right w:w="100" w:type="dxa"/>
            </w:tcMar>
          </w:tcPr>
          <w:p>
            <w:r>
              <w:rPr>
                <w:color w:val="16332E"/>
                <w:sz w:val="16"/>
              </w:rPr>
              <w:t>ProviderJobWorkflow</w:t>
            </w:r>
          </w:p>
        </w:tc>
        <w:tc>
          <w:tcPr>
            <w:tcW w:type="dxa" w:w="1872"/>
            <w:shd w:fill="F4FBF7"/>
            <w:tcMar>
              <w:top w:w="75" w:type="dxa"/>
              <w:bottom w:w="75" w:type="dxa"/>
              <w:left w:w="100" w:type="dxa"/>
              <w:right w:w="100" w:type="dxa"/>
            </w:tcMar>
          </w:tcPr>
          <w:p>
            <w:r>
              <w:rPr>
                <w:color w:val="16332E"/>
                <w:sz w:val="16"/>
              </w:rPr>
              <w:t>Provider</w:t>
            </w:r>
          </w:p>
        </w:tc>
        <w:tc>
          <w:tcPr>
            <w:tcW w:type="dxa" w:w="3024"/>
            <w:shd w:fill="F4FBF7"/>
            <w:tcMar>
              <w:top w:w="75" w:type="dxa"/>
              <w:bottom w:w="75" w:type="dxa"/>
              <w:left w:w="100" w:type="dxa"/>
              <w:right w:w="100" w:type="dxa"/>
            </w:tcMar>
          </w:tcPr>
          <w:p>
            <w:r>
              <w:rPr>
                <w:color w:val="16332E"/>
                <w:sz w:val="16"/>
              </w:rPr>
              <w:t>Workflow state controller (Start, Complete, Dispute)</w:t>
            </w:r>
          </w:p>
        </w:tc>
      </w:tr>
      <w:tr>
        <w:tc>
          <w:tcPr>
            <w:tcW w:type="dxa" w:w="2592"/>
            <w:shd w:fill="FFFFFF"/>
            <w:tcMar>
              <w:top w:w="75" w:type="dxa"/>
              <w:bottom w:w="75" w:type="dxa"/>
              <w:left w:w="100" w:type="dxa"/>
              <w:right w:w="100" w:type="dxa"/>
            </w:tcMar>
          </w:tcPr>
          <w:p>
            <w:r>
              <w:rPr>
                <w:b/>
                <w:color w:val="16332E"/>
                <w:sz w:val="16"/>
              </w:rPr>
              <w:t>/admin/categories</w:t>
            </w:r>
          </w:p>
        </w:tc>
        <w:tc>
          <w:tcPr>
            <w:tcW w:type="dxa" w:w="2592"/>
            <w:shd w:fill="FFFFFF"/>
            <w:tcMar>
              <w:top w:w="75" w:type="dxa"/>
              <w:bottom w:w="75" w:type="dxa"/>
              <w:left w:w="100" w:type="dxa"/>
              <w:right w:w="100" w:type="dxa"/>
            </w:tcMar>
          </w:tcPr>
          <w:p>
            <w:r>
              <w:rPr>
                <w:color w:val="16332E"/>
                <w:sz w:val="16"/>
              </w:rPr>
              <w:t>GlobalCategoryManager</w:t>
            </w:r>
          </w:p>
        </w:tc>
        <w:tc>
          <w:tcPr>
            <w:tcW w:type="dxa" w:w="1872"/>
            <w:shd w:fill="FFFFFF"/>
            <w:tcMar>
              <w:top w:w="75" w:type="dxa"/>
              <w:bottom w:w="75" w:type="dxa"/>
              <w:left w:w="100" w:type="dxa"/>
              <w:right w:w="100" w:type="dxa"/>
            </w:tcMar>
          </w:tcPr>
          <w:p>
            <w:r>
              <w:rPr>
                <w:color w:val="16332E"/>
                <w:sz w:val="16"/>
              </w:rPr>
              <w:t>Admin</w:t>
            </w:r>
          </w:p>
        </w:tc>
        <w:tc>
          <w:tcPr>
            <w:tcW w:type="dxa" w:w="3024"/>
            <w:shd w:fill="FFFFFF"/>
            <w:tcMar>
              <w:top w:w="75" w:type="dxa"/>
              <w:bottom w:w="75" w:type="dxa"/>
              <w:left w:w="100" w:type="dxa"/>
              <w:right w:w="100" w:type="dxa"/>
            </w:tcMar>
          </w:tcPr>
          <w:p>
            <w:r>
              <w:rPr>
                <w:color w:val="16332E"/>
                <w:sz w:val="16"/>
              </w:rPr>
              <w:t>Dynamic category CRUD operations (light brand design)</w:t>
            </w:r>
          </w:p>
        </w:tc>
      </w:tr>
      <w:tr>
        <w:tc>
          <w:tcPr>
            <w:tcW w:type="dxa" w:w="2592"/>
            <w:shd w:fill="F4FBF7"/>
            <w:tcMar>
              <w:top w:w="75" w:type="dxa"/>
              <w:bottom w:w="75" w:type="dxa"/>
              <w:left w:w="100" w:type="dxa"/>
              <w:right w:w="100" w:type="dxa"/>
            </w:tcMar>
          </w:tcPr>
          <w:p>
            <w:r>
              <w:rPr>
                <w:b/>
                <w:color w:val="16332E"/>
                <w:sz w:val="16"/>
              </w:rPr>
              <w:t>/admin/security</w:t>
            </w:r>
          </w:p>
        </w:tc>
        <w:tc>
          <w:tcPr>
            <w:tcW w:type="dxa" w:w="2592"/>
            <w:shd w:fill="F4FBF7"/>
            <w:tcMar>
              <w:top w:w="75" w:type="dxa"/>
              <w:bottom w:w="75" w:type="dxa"/>
              <w:left w:w="100" w:type="dxa"/>
              <w:right w:w="100" w:type="dxa"/>
            </w:tcMar>
          </w:tcPr>
          <w:p>
            <w:r>
              <w:rPr>
                <w:color w:val="16332E"/>
                <w:sz w:val="16"/>
              </w:rPr>
              <w:t>AdminSecurityDashboard</w:t>
            </w:r>
          </w:p>
        </w:tc>
        <w:tc>
          <w:tcPr>
            <w:tcW w:type="dxa" w:w="1872"/>
            <w:shd w:fill="F4FBF7"/>
            <w:tcMar>
              <w:top w:w="75" w:type="dxa"/>
              <w:bottom w:w="75" w:type="dxa"/>
              <w:left w:w="100" w:type="dxa"/>
              <w:right w:w="100" w:type="dxa"/>
            </w:tcMar>
          </w:tcPr>
          <w:p>
            <w:r>
              <w:rPr>
                <w:color w:val="16332E"/>
                <w:sz w:val="16"/>
              </w:rPr>
              <w:t>Admin</w:t>
            </w:r>
          </w:p>
        </w:tc>
        <w:tc>
          <w:tcPr>
            <w:tcW w:type="dxa" w:w="3024"/>
            <w:shd w:fill="F4FBF7"/>
            <w:tcMar>
              <w:top w:w="75" w:type="dxa"/>
              <w:bottom w:w="75" w:type="dxa"/>
              <w:left w:w="100" w:type="dxa"/>
              <w:right w:w="100" w:type="dxa"/>
            </w:tcMar>
          </w:tcPr>
          <w:p>
            <w:r>
              <w:rPr>
                <w:color w:val="16332E"/>
                <w:sz w:val="16"/>
              </w:rPr>
              <w:t>Provider verification queue &amp; user account suspension</w:t>
            </w:r>
          </w:p>
        </w:tc>
      </w:tr>
      <w:tr>
        <w:tc>
          <w:tcPr>
            <w:tcW w:type="dxa" w:w="2592"/>
            <w:shd w:fill="FFFFFF"/>
            <w:tcMar>
              <w:top w:w="75" w:type="dxa"/>
              <w:bottom w:w="75" w:type="dxa"/>
              <w:left w:w="100" w:type="dxa"/>
              <w:right w:w="100" w:type="dxa"/>
            </w:tcMar>
          </w:tcPr>
          <w:p>
            <w:r>
              <w:rPr>
                <w:b/>
                <w:color w:val="16332E"/>
                <w:sz w:val="16"/>
              </w:rPr>
              <w:t>/admin/disputes</w:t>
            </w:r>
          </w:p>
        </w:tc>
        <w:tc>
          <w:tcPr>
            <w:tcW w:type="dxa" w:w="2592"/>
            <w:shd w:fill="FFFFFF"/>
            <w:tcMar>
              <w:top w:w="75" w:type="dxa"/>
              <w:bottom w:w="75" w:type="dxa"/>
              <w:left w:w="100" w:type="dxa"/>
              <w:right w:w="100" w:type="dxa"/>
            </w:tcMar>
          </w:tcPr>
          <w:p>
            <w:r>
              <w:rPr>
                <w:color w:val="16332E"/>
                <w:sz w:val="16"/>
              </w:rPr>
              <w:t>AdminDisputeDesk</w:t>
            </w:r>
          </w:p>
        </w:tc>
        <w:tc>
          <w:tcPr>
            <w:tcW w:type="dxa" w:w="1872"/>
            <w:shd w:fill="FFFFFF"/>
            <w:tcMar>
              <w:top w:w="75" w:type="dxa"/>
              <w:bottom w:w="75" w:type="dxa"/>
              <w:left w:w="100" w:type="dxa"/>
              <w:right w:w="100" w:type="dxa"/>
            </w:tcMar>
          </w:tcPr>
          <w:p>
            <w:r>
              <w:rPr>
                <w:color w:val="16332E"/>
                <w:sz w:val="16"/>
              </w:rPr>
              <w:t>Admin</w:t>
            </w:r>
          </w:p>
        </w:tc>
        <w:tc>
          <w:tcPr>
            <w:tcW w:type="dxa" w:w="3024"/>
            <w:shd w:fill="FFFFFF"/>
            <w:tcMar>
              <w:top w:w="75" w:type="dxa"/>
              <w:bottom w:w="75" w:type="dxa"/>
              <w:left w:w="100" w:type="dxa"/>
              <w:right w:w="100" w:type="dxa"/>
            </w:tcMar>
          </w:tcPr>
          <w:p>
            <w:r>
              <w:rPr>
                <w:color w:val="16332E"/>
                <w:sz w:val="16"/>
              </w:rPr>
              <w:t>Dispute ticket review, administrative overrides &amp; refunds</w:t>
            </w:r>
          </w:p>
        </w:tc>
      </w:tr>
    </w:tbl>
    <w:p>
      <w:pPr>
        <w:spacing w:before="200"/>
      </w:pPr>
    </w:p>
    <w:p>
      <w:pPr>
        <w:pStyle w:val="Heading1"/>
        <w:spacing w:before="240" w:after="120"/>
      </w:pPr>
      <w:r>
        <w:rPr>
          <w:b/>
          <w:color w:val="123F36"/>
          <w:sz w:val="27"/>
        </w:rPr>
        <w:t>5. Verification &amp; Testing Deliverables</w:t>
      </w:r>
    </w:p>
    <w:p>
      <w:pPr>
        <w:spacing w:line="276" w:lineRule="auto" w:after="120"/>
      </w:pPr>
      <w:r>
        <w:rPr>
          <w:b/>
          <w:color w:val="16332E"/>
        </w:rPr>
        <w:t xml:space="preserve">A. Impeccable Design Quality Scan: </w:t>
      </w:r>
      <w:r>
        <w:t>Executed 'npx impeccable detect frontend/src'. The scan confirmed zero anti-patterns across all 19 components and 14 pages (Exit Code 0). All color tells, gray-on-color contrast defects, and side-tab borders were fully resolved.</w:t>
      </w:r>
    </w:p>
    <w:p>
      <w:pPr>
        <w:spacing w:line="276" w:lineRule="auto" w:after="120"/>
      </w:pPr>
      <w:r>
        <w:rPr>
          <w:b/>
          <w:color w:val="16332E"/>
        </w:rPr>
        <w:t xml:space="preserve">B. Production Bundle Build: </w:t>
      </w:r>
      <w:r>
        <w:t>Executed 'npm run build' via Vite. Successfully transformed 1,906 modules and produced clean, minified production assets in 1.06s with zero syntax errors, broken imports, or compilation warnings.</w:t>
      </w:r>
    </w:p>
    <w:p>
      <w:pPr>
        <w:spacing w:line="276" w:lineRule="auto" w:after="320"/>
      </w:pPr>
      <w:r>
        <w:rPr>
          <w:b/>
          <w:color w:val="16332E"/>
        </w:rPr>
        <w:t xml:space="preserve">C. Interactive Browser Verification: </w:t>
      </w:r>
      <w:r>
        <w:t>Conducted end-to-end browser verification across all primary pages: Homepage, Global Category Manager, Customer Bookings Kanban, Provider Job Workflow, and Provider Public Profile. Verified that all components render with pixel-perfect alignment, proper color tokens, responsive grid behavior, and zero layout shift.</w:t>
      </w:r>
    </w:p>
    <w:p>
      <w:pPr>
        <w:spacing w:before="320"/>
      </w:pPr>
      <w:r>
        <w:rPr>
          <w:i/>
          <w:color w:val="5D6E6A"/>
          <w:sz w:val="18"/>
        </w:rPr>
        <w:t>Report Compiled by Mohammad Wasik Zubair Abrar — FixSquad Frontend Lead</w:t>
        <w:br/>
        <w:t>Status: Verified, tested, and ready for team review.</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