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delo-de-datos-igualab-informe-completo"/>
    <w:p>
      <w:pPr>
        <w:pStyle w:val="Heading1"/>
      </w:pPr>
      <w:r>
        <w:t xml:space="preserve">MODELO DE DATOS — IGUALAB (Informe completo)</w:t>
      </w:r>
    </w:p>
    <w:p>
      <w:pPr>
        <w:pStyle w:val="BlockText"/>
      </w:pPr>
      <w:r>
        <w:t xml:space="preserve">PostgreSQL 16 + pgvector · Monolito modular ·</w:t>
      </w:r>
      <w:r>
        <w:t xml:space="preserve"> </w:t>
      </w:r>
      <w:r>
        <w:rPr>
          <w:b/>
          <w:bCs/>
        </w:rPr>
        <w:t xml:space="preserve">13 tablas — modelo de destino</w:t>
      </w:r>
      <w:r>
        <w:t xml:space="preserve"> </w:t>
      </w:r>
      <w:r>
        <w:t xml:space="preserve">Alineado a la arquitectura de solución por capas (</w:t>
      </w:r>
      <w:r>
        <w:rPr>
          <w:rStyle w:val="VerbatimChar"/>
        </w:rPr>
        <w:t xml:space="preserve">arquitecturasolution.jpeg</w:t>
      </w:r>
      <w:r>
        <w:t xml:space="preserve">, capas 6–7) y al A&amp;D v6 (fuente única de RN/RF/RNF).</w:t>
      </w:r>
      <w:r>
        <w:t xml:space="preserve"> </w:t>
      </w:r>
      <w:r>
        <w:t xml:space="preserve">Norma del curso:</w:t>
      </w:r>
      <w:r>
        <w:t xml:space="preserve"> </w:t>
      </w:r>
      <w:r>
        <w:rPr>
          <w:b/>
          <w:bCs/>
        </w:rPr>
        <w:t xml:space="preserve">GES/GAP</w:t>
      </w:r>
      <w:r>
        <w:t xml:space="preserve"> </w:t>
      </w:r>
      <w:r>
        <w:t xml:space="preserve">(modelo conceptual → modelo lógico → modelo físico semántico).</w:t>
      </w:r>
    </w:p>
    <w:p>
      <w:r>
        <w:pict>
          <v:rect style="width:0;height:1.5pt" o:hralign="center" o:hrstd="t" o:hr="t"/>
        </w:pict>
      </w:r>
    </w:p>
    <w:bookmarkEnd w:id="9"/>
    <w:bookmarkStart w:id="17" w:name="modelo-de-datos"/>
    <w:p>
      <w:pPr>
        <w:pStyle w:val="Heading1"/>
      </w:pPr>
      <w:r>
        <w:t xml:space="preserve">1 · MODELO DE DATOS</w:t>
      </w:r>
    </w:p>
    <w:bookmarkStart w:id="10" w:name="resumen-del-modelo"/>
    <w:p>
      <w:pPr>
        <w:pStyle w:val="Heading2"/>
      </w:pPr>
      <w:r>
        <w:t xml:space="preserve">1.1 Resumen del modelo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1"/>
        <w:gridCol w:w="7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16 + extensión pgvector</w:t>
            </w:r>
            <w:r>
              <w:t xml:space="preserve"> </w:t>
            </w:r>
            <w:r>
              <w:t xml:space="preserve">(base de datos vectorizada que sustenta el RAG)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/ acceso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AsyncPG</w:t>
            </w:r>
            <w:r>
              <w:t xml:space="preserve"> </w:t>
            </w:r>
            <w:r>
              <w:t xml:space="preserve">(motor async de SQLAlchemy hacia PostgreSQL)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Monolito modular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 tablas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Origen del diseño</w:t>
            </w:r>
          </w:p>
        </w:tc>
        <w:tc>
          <w:tcPr/>
          <w:p>
            <w:pPr>
              <w:pStyle w:val="Compact"/>
            </w:pPr>
            <w:r>
              <w:t xml:space="preserve">ERD «Diagrama Entidad–Relación · IGUALAB — Modelo de Datos Depurado» entregado por el equipo, con las correcciones aplicadas tras su revisión (puntos ⚙ anotados en cada ficha)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retirado</w:t>
            </w:r>
          </w:p>
        </w:tc>
        <w:tc>
          <w:tcPr/>
          <w:p>
            <w:pPr>
              <w:pStyle w:val="Compact"/>
            </w:pPr>
            <w:r>
              <w:t xml:space="preserve">Se quitaron módulos (Configuración, catálogo de roles, medidor LLM separado) → se retiraron 5 tablas del diseño v2 y se añadieron 4 nuevas</w:t>
            </w:r>
          </w:p>
        </w:tc>
      </w:tr>
    </w:tbl>
    <w:bookmarkEnd w:id="10"/>
    <w:bookmarkStart w:id="11" w:name="X1a305779115f5bbfed73a4349fec676758fc3b0"/>
    <w:p>
      <w:pPr>
        <w:pStyle w:val="Heading2"/>
      </w:pPr>
      <w:r>
        <w:t xml:space="preserve">1.2 El modelo por dominios (6 dominios — refleja el ERD vigente)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1"/>
        <w:gridCol w:w="2275"/>
        <w:gridCol w:w="46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IDENTIDAD Y ACCESO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sesiones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tokens_recuperacion</w:t>
            </w:r>
          </w:p>
        </w:tc>
        <w:tc>
          <w:tcPr/>
          <w:p>
            <w:pPr>
              <w:pStyle w:val="Compact"/>
            </w:pPr>
            <w:r>
              <w:t xml:space="preserve">Accounts of access, sesiones explícitas (JWT/sid) y recuperación de contraseña single-use.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EMPRESAS E INGESTA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documentos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fragmentos_documento</w:t>
            </w:r>
          </w:p>
        </w:tc>
        <w:tc>
          <w:tcPr/>
          <w:p>
            <w:pPr>
              <w:pStyle w:val="Compact"/>
            </w:pPr>
            <w:r>
              <w:t xml:space="preserve">Cadena de contenido fuente: catálogo de empresas, pipeline de ingesta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y fragmentos vectorizados.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ANÁLISIS GRI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catalogo_gri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gri_analisis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sanciones</w:t>
            </w:r>
          </w:p>
        </w:tc>
        <w:tc>
          <w:tcPr/>
          <w:p>
            <w:pPr>
              <w:pStyle w:val="Compact"/>
            </w:pPr>
            <w:r>
              <w:t xml:space="preserve">El estándar GRI (referencia) y la tabla única de resultados del análisis (códigos, citas, sanciones).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ASISTENTE 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consultas_asistente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consulta_citas</w:t>
            </w:r>
          </w:p>
        </w:tc>
        <w:tc>
          <w:tcPr/>
          <w:p>
            <w:pPr>
              <w:pStyle w:val="Compact"/>
            </w:pPr>
            <w:r>
              <w:t xml:space="preserve">Persistencia de cada consulta al RAG con sus citas · fuentes (post-verificación de IDs).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reportes_prospeccion</w:t>
            </w:r>
          </w:p>
        </w:tc>
        <w:tc>
          <w:tcPr/>
          <w:p>
            <w:pPr>
              <w:pStyle w:val="Compact"/>
            </w:pPr>
            <w:r>
              <w:t xml:space="preserve">Entregable PDF inmutable + snapshot JSONB congelado a la fecha de emisión.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Bitácora</w:t>
            </w:r>
            <w:r>
              <w:t xml:space="preserve"> </w:t>
            </w:r>
            <w:r>
              <w:rPr>
                <w:b/>
                <w:bCs/>
              </w:rPr>
              <w:t xml:space="preserve">append-only</w:t>
            </w:r>
            <w:r>
              <w:t xml:space="preserve"> </w:t>
            </w:r>
            <w:r>
              <w:t xml:space="preserve">de eventos sensibles (solo INSERT; UTC).</w:t>
            </w:r>
          </w:p>
        </w:tc>
      </w:tr>
    </w:tbl>
    <w:bookmarkEnd w:id="11"/>
    <w:bookmarkStart w:id="12" w:name="entidades-y-relaciones-modelo-conceptual"/>
    <w:p>
      <w:pPr>
        <w:pStyle w:val="Heading2"/>
      </w:pPr>
      <w:r>
        <w:t xml:space="preserve">1.3 Entidades y relaciones (modelo conceptual)</w:t>
      </w:r>
    </w:p>
    <w:p>
      <w:pPr>
        <w:pStyle w:val="FirstParagraph"/>
      </w:pPr>
      <w:r>
        <w:t xml:space="preserve">Cadena principal del negocio:</w:t>
      </w:r>
    </w:p>
    <w:p>
      <w:pPr>
        <w:pStyle w:val="SourceCode"/>
      </w:pPr>
      <w:r>
        <w:rPr>
          <w:rStyle w:val="VerbatimChar"/>
        </w:rPr>
        <w:t xml:space="preserve">empresa → documento (.md) → fragmentos (vectorizados) → gri_analisis → reportes_prospeccion,</w:t>
      </w:r>
      <w:r>
        <w:br/>
      </w:r>
      <w:r>
        <w:rPr>
          <w:rStyle w:val="VerbatimChar"/>
        </w:rPr>
        <w:t xml:space="preserve">con: usuarios (quién hace qué) · auditoria (eventos sensibles) · catalogo_gri (El estándar),</w:t>
      </w:r>
      <w:r>
        <w:br/>
      </w:r>
      <w:r>
        <w:rPr>
          <w:rStyle w:val="VerbatimChar"/>
        </w:rPr>
        <w:t xml:space="preserve">     consultas_asistente + consulta_citas (Asistente RAG).</w:t>
      </w:r>
    </w:p>
    <w:p>
      <w:pPr>
        <w:pStyle w:val="FirstParagraph"/>
      </w:pPr>
      <w:r>
        <w:t xml:space="preserve">Relaciones (todas 1:N salvo indicación):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abre muchas</w:t>
      </w:r>
      <w:r>
        <w:t xml:space="preserve"> </w:t>
      </w:r>
      <w:r>
        <w:rPr>
          <w:b/>
          <w:bCs/>
        </w:rPr>
        <w:t xml:space="preserve">sesiones</w:t>
      </w:r>
      <w:r>
        <w:t xml:space="preserve"> </w:t>
      </w:r>
      <w:r>
        <w:t xml:space="preserve">y crea muchos</w:t>
      </w:r>
      <w:r>
        <w:t xml:space="preserve"> </w:t>
      </w:r>
      <w:r>
        <w:rPr>
          <w:b/>
          <w:bCs/>
        </w:rPr>
        <w:t xml:space="preserve">tokens_recuperacion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empresa</w:t>
      </w:r>
      <w:r>
        <w:t xml:space="preserve"> </w:t>
      </w:r>
      <w:r>
        <w:t xml:space="preserve">tiene muchos</w:t>
      </w:r>
      <w:r>
        <w:t xml:space="preserve"> </w:t>
      </w:r>
      <w:r>
        <w:rPr>
          <w:b/>
          <w:bCs/>
        </w:rPr>
        <w:t xml:space="preserve">documentos</w:t>
      </w:r>
      <w:r>
        <w:t xml:space="preserve">; un</w:t>
      </w:r>
      <w:r>
        <w:t xml:space="preserve"> </w:t>
      </w:r>
      <w:r>
        <w:rPr>
          <w:b/>
          <w:bCs/>
        </w:rPr>
        <w:t xml:space="preserve">usuario</w:t>
      </w:r>
      <w:r>
        <w:t xml:space="preserve"> </w:t>
      </w:r>
      <w:r>
        <w:t xml:space="preserve">crea los documentos (</w:t>
      </w:r>
      <w:r>
        <w:rPr>
          <w:rStyle w:val="VerbatimChar"/>
        </w:rPr>
        <w:t xml:space="preserve">creada_por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documento</w:t>
      </w:r>
      <w:r>
        <w:t xml:space="preserve"> </w:t>
      </w:r>
      <w:r>
        <w:t xml:space="preserve">se vectoriza en muchos</w:t>
      </w:r>
      <w:r>
        <w:t xml:space="preserve"> </w:t>
      </w:r>
      <w:r>
        <w:rPr>
          <w:b/>
          <w:bCs/>
        </w:rPr>
        <w:t xml:space="preserve">fragmentos_documento</w:t>
      </w:r>
      <w:r>
        <w:t xml:space="preserve">; un documento produce muchas filas de</w:t>
      </w:r>
      <w:r>
        <w:t xml:space="preserve"> </w:t>
      </w:r>
      <w:r>
        <w:rPr>
          <w:b/>
          <w:bCs/>
        </w:rPr>
        <w:t xml:space="preserve">gri_analisis</w:t>
      </w:r>
      <w:r>
        <w:t xml:space="preserve"> </w:t>
      </w:r>
      <w:r>
        <w:t xml:space="preserve">y cita muchas</w:t>
      </w:r>
      <w:r>
        <w:t xml:space="preserve"> </w:t>
      </w:r>
      <w:r>
        <w:rPr>
          <w:b/>
          <w:bCs/>
        </w:rPr>
        <w:t xml:space="preserve">sanciones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Cada fila de</w:t>
      </w:r>
      <w:r>
        <w:t xml:space="preserve"> </w:t>
      </w:r>
      <w:r>
        <w:rPr>
          <w:b/>
          <w:bCs/>
        </w:rPr>
        <w:t xml:space="preserve">gri_analisis</w:t>
      </w:r>
      <w:r>
        <w:t xml:space="preserve"> </w:t>
      </w:r>
      <w:r>
        <w:t xml:space="preserve">referencia un código del</w:t>
      </w:r>
      <w:r>
        <w:t xml:space="preserve"> </w:t>
      </w:r>
      <w:r>
        <w:rPr>
          <w:b/>
          <w:bCs/>
        </w:rPr>
        <w:t xml:space="preserve">catalogo_gri</w:t>
      </w:r>
      <w:r>
        <w:t xml:space="preserve"> </w:t>
      </w:r>
      <w:r>
        <w:t xml:space="preserve">y proviene de un</w:t>
      </w:r>
      <w:r>
        <w:t xml:space="preserve"> </w:t>
      </w:r>
      <w:r>
        <w:rPr>
          <w:b/>
          <w:bCs/>
        </w:rPr>
        <w:t xml:space="preserve">fragmento</w:t>
      </w:r>
      <w:r>
        <w:t xml:space="preserve"> </w:t>
      </w:r>
      <w:r>
        <w:t xml:space="preserve">(</w:t>
      </w:r>
      <w:r>
        <w:rPr>
          <w:rStyle w:val="VerbatimChar"/>
        </w:rPr>
        <w:t xml:space="preserve">fragmento_id</w:t>
      </w:r>
      <w:r>
        <w:t xml:space="preserve"> </w:t>
      </w:r>
      <w:r>
        <w:t xml:space="preserve">— cita verificable).</w:t>
      </w:r>
    </w:p>
    <w:p>
      <w:pPr>
        <w:pStyle w:val="Compact"/>
        <w:numPr>
          <w:ilvl w:val="0"/>
          <w:numId w:val="1001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consulta_asistente</w:t>
      </w:r>
      <w:r>
        <w:t xml:space="preserve"> </w:t>
      </w:r>
      <w:r>
        <w:t xml:space="preserve">registra sus</w:t>
      </w:r>
      <w:r>
        <w:t xml:space="preserve"> </w:t>
      </w:r>
      <w:r>
        <w:rPr>
          <w:b/>
          <w:bCs/>
        </w:rPr>
        <w:t xml:space="preserve">citas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consulta_citas</w:t>
      </w:r>
      <w:r>
        <w:t xml:space="preserve">) enlazadas a fragmentos.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reporte de prospección</w:t>
      </w:r>
      <w:r>
        <w:t xml:space="preserve"> </w:t>
      </w:r>
      <w:r>
        <w:t xml:space="preserve">pertenece a una empresa (UNIQUE empresa+anho — RNF-032) y congela su</w:t>
      </w:r>
      <w:r>
        <w:t xml:space="preserve"> </w:t>
      </w:r>
      <w:r>
        <w:rPr>
          <w:b/>
          <w:bCs/>
        </w:rPr>
        <w:t xml:space="preserve">snapshot</w:t>
      </w:r>
      <w:r>
        <w:t xml:space="preserve"> </w:t>
      </w:r>
      <w:r>
        <w:t xml:space="preserve">a la fecha de emisión.</w:t>
      </w:r>
    </w:p>
    <w:p>
      <w:pPr>
        <w:pStyle w:val="Compact"/>
        <w:numPr>
          <w:ilvl w:val="0"/>
          <w:numId w:val="1001"/>
        </w:numPr>
      </w:pPr>
      <w:r>
        <w:t xml:space="preserve">Todo evento sensible registra</w:t>
      </w:r>
      <w:r>
        <w:t xml:space="preserve"> </w:t>
      </w:r>
      <w:r>
        <w:rPr>
          <w:b/>
          <w:bCs/>
        </w:rPr>
        <w:t xml:space="preserve">auditoria</w:t>
      </w:r>
      <w:r>
        <w:t xml:space="preserve"> </w:t>
      </w:r>
      <w:r>
        <w:t xml:space="preserve">(append-only; FK usuario/empresa NULL cuando aplica).</w:t>
      </w:r>
    </w:p>
    <w:bookmarkEnd w:id="12"/>
    <w:bookmarkStart w:id="13" w:name="diagrama-entidadrelación-erd-vigente"/>
    <w:p>
      <w:pPr>
        <w:pStyle w:val="Heading2"/>
      </w:pPr>
      <w:r>
        <w:t xml:space="preserve">1.4 Diagrama Entidad–Relación (ERD vigente)</w:t>
      </w:r>
    </w:p>
    <w:p>
      <w:pPr>
        <w:pStyle w:val="BlockText"/>
      </w:pPr>
      <w:r>
        <w:t xml:space="preserve">ERD «Modelo de Datos Depurado» (13 tablas). El diagrama anterior</w:t>
      </w:r>
      <w:r>
        <w:t xml:space="preserve"> </w:t>
      </w:r>
      <w:r>
        <w:rPr>
          <w:rStyle w:val="VerbatimChar"/>
        </w:rPr>
        <w:t xml:space="preserve">Diagrama_bd.png</w:t>
      </w:r>
      <w:r>
        <w:t xml:space="preserve"> </w:t>
      </w:r>
      <w:r>
        <w:t xml:space="preserve">queda como archivo histórico.</w:t>
      </w:r>
    </w:p>
    <w:bookmarkEnd w:id="13"/>
    <w:bookmarkStart w:id="14" w:name="restricciones-clave-unique-y-reglas-bd"/>
    <w:p>
      <w:pPr>
        <w:pStyle w:val="Heading2"/>
      </w:pPr>
      <w:r>
        <w:t xml:space="preserve">1.5 Restricciones clave (UNIQUE y reglas BD)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usuarios.rol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WHERE rol='superadmin'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Un solo Superadmin en toda la tabla — la transferencia es transacción doble atómica (RS-01).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case-insensitive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usuarios.correo</w:t>
            </w:r>
            <w:r>
              <w:t xml:space="preserve"> </w:t>
            </w:r>
            <w:r>
              <w:t xml:space="preserve">(índice</w:t>
            </w:r>
            <w:r>
              <w:t xml:space="preserve"> </w:t>
            </w:r>
            <w:r>
              <w:rPr>
                <w:rStyle w:val="VerbatimChar"/>
              </w:rPr>
              <w:t xml:space="preserve">lower(correo)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Correo único de dominio autorizado (RN-007).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documentos.sha256</w:t>
            </w:r>
          </w:p>
        </w:tc>
        <w:tc>
          <w:tcPr/>
          <w:p>
            <w:pPr>
              <w:pStyle w:val="Compact"/>
            </w:pPr>
            <w:r>
              <w:t xml:space="preserve">El mismo contenido nunca se ingesta dos veces (RNF-010).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(empresa_id, anho, tipo)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WHERE estado='indexado'</w:t>
            </w:r>
          </w:p>
        </w:tc>
        <w:tc>
          <w:tcPr/>
          <w:p>
            <w:pPr>
              <w:pStyle w:val="Compact"/>
            </w:pPr>
            <w:r>
              <w:t xml:space="preserve">Unicidad documental por empresa/año/tipo — solo para documentos exitosos.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(documento_id, indice)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fragmentos_documento</w:t>
            </w:r>
          </w:p>
        </w:tc>
        <w:tc>
          <w:tcPr/>
          <w:p>
            <w:pPr>
              <w:pStyle w:val="Compact"/>
            </w:pPr>
            <w:r>
              <w:t xml:space="preserve">Posición única del fragmento dentro del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(documento_id, gri_codigo)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gri_analisis</w:t>
            </w:r>
          </w:p>
        </w:tc>
        <w:tc>
          <w:tcPr/>
          <w:p>
            <w:pPr>
              <w:pStyle w:val="Compact"/>
            </w:pPr>
            <w:r>
              <w:t xml:space="preserve">Una sola fila de resultados por documento/código.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parcial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(empresa_id, anho)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reportes_prospeccion</w:t>
            </w:r>
          </w:p>
        </w:tc>
        <w:tc>
          <w:tcPr/>
          <w:p>
            <w:pPr>
              <w:pStyle w:val="Compact"/>
            </w:pPr>
            <w:r>
              <w:t xml:space="preserve">Un solo reporte por empresa/año (RNF-032).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sectores cerrados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empresas.sector</w:t>
            </w:r>
          </w:p>
        </w:tc>
        <w:tc>
          <w:tcPr/>
          <w:p>
            <w:pPr>
              <w:pStyle w:val="Compact"/>
            </w:pPr>
            <w:r>
              <w:t xml:space="preserve">Minería · Petróleo y Gas · Energía (RN-019, en la BD).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tamano_bytes ≤ 50 MB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Límite de tamaño (RN-019).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estados 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estado_ingesta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estado_gri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estado_documental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tipo_evento_auditoria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 UPDATE, DELETE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Append-only garantizado por la BD.</w:t>
            </w:r>
          </w:p>
        </w:tc>
      </w:tr>
    </w:tbl>
    <w:bookmarkEnd w:id="14"/>
    <w:bookmarkStart w:id="15" w:name="tablas-retiradas-se-quitaron-módulos"/>
    <w:p>
      <w:pPr>
        <w:pStyle w:val="Heading2"/>
      </w:pPr>
      <w:r>
        <w:t xml:space="preserve">1.6 Tablas retiradas (se quitaron módulos)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Retirada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Catálogo cerrado de 2 filas — sustituido por ENUM</w:t>
            </w:r>
            <w:r>
              <w:t xml:space="preserve"> </w:t>
            </w:r>
            <w:r>
              <w:rPr>
                <w:rStyle w:val="VerbatimChar"/>
              </w:rPr>
              <w:t xml:space="preserve">rol_usuario</w:t>
            </w:r>
            <w:r>
              <w:t xml:space="preserve"> </w:t>
            </w:r>
            <w:r>
              <w:t xml:space="preserve">+ UNIQUE parcial en</w:t>
            </w:r>
            <w:r>
              <w:t xml:space="preserve"> </w:t>
            </w:r>
            <w:r>
              <w:rPr>
                <w:rStyle w:val="VerbatimChar"/>
              </w:rPr>
              <w:t xml:space="preserve">usuarios.rol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configuracion</w:t>
            </w:r>
          </w:p>
        </w:tc>
        <w:tc>
          <w:tcPr/>
          <w:p>
            <w:pPr>
              <w:pStyle w:val="Compact"/>
            </w:pPr>
            <w:r>
              <w:t xml:space="preserve">El módulo Configuración fue quitado → umbrales por variables de entorno (doc Stack §4).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uso_llm</w:t>
            </w:r>
          </w:p>
        </w:tc>
        <w:tc>
          <w:tcPr/>
          <w:p>
            <w:pPr>
              <w:pStyle w:val="Compact"/>
            </w:pPr>
            <w:r>
              <w:t xml:space="preserve">El consumo diario se deriva de</w:t>
            </w:r>
            <w:r>
              <w:t xml:space="preserve"> </w:t>
            </w:r>
            <w:r>
              <w:rPr>
                <w:rStyle w:val="VerbatimChar"/>
              </w:rPr>
              <w:t xml:space="preserve">consultas_asistente</w:t>
            </w:r>
            <w:r>
              <w:t xml:space="preserve"> </w:t>
            </w:r>
            <w:r>
              <w:t xml:space="preserve">(COUNT por día/modelo).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gri_analisis_historico</w:t>
            </w:r>
          </w:p>
        </w:tc>
        <w:tc>
          <w:tcPr/>
          <w:p>
            <w:pPr>
              <w:pStyle w:val="Compact"/>
            </w:pPr>
            <w:r>
              <w:t xml:space="preserve">Los cambios sensibles quedan en</w:t>
            </w:r>
            <w:r>
              <w:t xml:space="preserve"> </w:t>
            </w:r>
            <w:r>
              <w:rPr>
                <w:rStyle w:val="VerbatimChar"/>
              </w:rPr>
              <w:t xml:space="preserve">auditoria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AJUSTE_BRECHA</w:t>
            </w:r>
            <w:r>
              <w:t xml:space="preserve"> </w:t>
            </w:r>
            <w:r>
              <w:t xml:space="preserve">detalle JSONB).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reporte_detalle_snapshot</w:t>
            </w:r>
          </w:p>
        </w:tc>
        <w:tc>
          <w:tcPr/>
          <w:p>
            <w:pPr>
              <w:pStyle w:val="Compact"/>
            </w:pPr>
            <w:r>
              <w:t xml:space="preserve">Sustituida por</w:t>
            </w:r>
            <w:r>
              <w:t xml:space="preserve"> </w:t>
            </w:r>
            <w:r>
              <w:rPr>
                <w:rStyle w:val="VerbatimChar"/>
              </w:rPr>
              <w:t xml:space="preserve">contenido_snapshot</w:t>
            </w:r>
            <w:r>
              <w:t xml:space="preserve"> </w:t>
            </w:r>
            <w:r>
              <w:t xml:space="preserve">JSONB + PDF inmutable con hash.</w:t>
            </w:r>
          </w:p>
        </w:tc>
      </w:tr>
    </w:tbl>
    <w:bookmarkEnd w:id="15"/>
    <w:bookmarkStart w:id="16" w:name="decisiones-del-modelo"/>
    <w:p>
      <w:pPr>
        <w:pStyle w:val="Heading2"/>
      </w:pPr>
      <w:r>
        <w:t xml:space="preserve">1.7 Decisiones del modelo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Sectores cerrados</w:t>
      </w:r>
      <w:r>
        <w:t xml:space="preserve">: Minería, Petróleo y Gas, Energía (CHECK en la BD).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GRI asignado manualmente</w:t>
      </w:r>
      <w:r>
        <w:t xml:space="preserve"> </w:t>
      </w:r>
      <w:r>
        <w:t xml:space="preserve">por el Administrador: no existe</w:t>
      </w:r>
      <w:r>
        <w:t xml:space="preserve"> </w:t>
      </w:r>
      <w:r>
        <w:rPr>
          <w:rStyle w:val="VerbatimChar"/>
        </w:rPr>
        <w:t xml:space="preserve">estado_sugerido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Sanciones enlazadas al documento</w:t>
      </w:r>
      <w:r>
        <w:t xml:space="preserve">; empresa y año se derivan de él (sin duplicar FKs).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Embeddings almacenados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fragmentos_documento</w:t>
      </w:r>
      <w:r>
        <w:t xml:space="preserve">; la dimensión depende del modelo del proveedor (fijar en migración, p. ej. 1024).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Reporte consolidado en JSONB + PDF inmutable</w:t>
      </w:r>
      <w:r>
        <w:t xml:space="preserve"> </w:t>
      </w:r>
      <w:r>
        <w:t xml:space="preserve">(sin tabla normalizada de detalle).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Auditoría unipersonal</w:t>
      </w:r>
      <w:r>
        <w:t xml:space="preserve"> </w:t>
      </w:r>
      <w:r>
        <w:t xml:space="preserve">separada del logging técnico y con modo append-only.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FK de auditoría/consultas visibles</w:t>
      </w:r>
      <w:r>
        <w:t xml:space="preserve"> </w:t>
      </w:r>
      <w:r>
        <w:t xml:space="preserve">en el diagrama (líneas largas omitidas por legibilidad).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6" w:name="diccionario-de-datos"/>
    <w:p>
      <w:pPr>
        <w:pStyle w:val="Heading1"/>
      </w:pPr>
      <w:r>
        <w:t xml:space="preserve">2 · DICCIONARIO DE DATOS</w:t>
      </w:r>
    </w:p>
    <w:p>
      <w:pPr>
        <w:pStyle w:val="BlockText"/>
      </w:pPr>
      <w:r>
        <w:t xml:space="preserve">Formato por ficha:</w:t>
      </w:r>
      <w:r>
        <w:t xml:space="preserve"> </w:t>
      </w:r>
      <w:r>
        <w:rPr>
          <w:b/>
          <w:bCs/>
        </w:rPr>
        <w:t xml:space="preserve">Campo · Tamaño · Tipo de Dato · Descripción · NULL</w:t>
      </w:r>
      <w:r>
        <w:t xml:space="preserve"> </w:t>
      </w:r>
      <w:r>
        <w:t xml:space="preserve">(formato del informe de referencia).</w:t>
      </w:r>
    </w:p>
    <w:bookmarkStart w:id="18" w:name="dominio-identidad-y-acceso"/>
    <w:p>
      <w:pPr>
        <w:pStyle w:val="Heading2"/>
      </w:pPr>
      <w:r>
        <w:t xml:space="preserve">Dominio: IDENTIDAD Y ACCESO</w:t>
      </w:r>
    </w:p>
    <w:bookmarkEnd w:id="18"/>
    <w:bookmarkStart w:id="19" w:name="tabla-usuario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usuarios</w:t>
      </w:r>
    </w:p>
    <w:p>
      <w:pPr>
        <w:pStyle w:val="FirstParagraph"/>
      </w:pPr>
      <w:r>
        <w:t xml:space="preserve">Descripción: Registro de las personas que operan la plataforma (3 en fase 1: 1 Superadmin + 2 Administradores). El rol es un ENUM cerrado — sustituye a la tabla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del diseño anterior; soporta el bloqueo de cuenta por intentos fallidos (RNF-031).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usuario (gen_random_uuid).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completo oficial del usuario.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Correo de dominio autorizado; único case-insensitive (índice funcional lower(correo)).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 bcrypt de la contraseña (RNF-002; nunca texto plano).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rol_usuario (ENUM)</w:t>
            </w:r>
          </w:p>
        </w:tc>
        <w:tc>
          <w:tcPr/>
          <w:p>
            <w:pPr>
              <w:pStyle w:val="Compact"/>
            </w:pPr>
            <w:r>
              <w:t xml:space="preserve">Rol cerrado:</w:t>
            </w:r>
            <w:r>
              <w:t xml:space="preserve"> </w:t>
            </w:r>
            <w:r>
              <w:rPr>
                <w:rStyle w:val="VerbatimChar"/>
              </w:rPr>
              <w:t xml:space="preserve">superadmin \| administrador</w:t>
            </w:r>
            <w:r>
              <w:t xml:space="preserve"> </w:t>
            </w:r>
            <w:r>
              <w:t xml:space="preserve">(RN-001).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habilitado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Cuenta habilitada para operar (RN-005; default true).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intentos_fallidos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Logins fallidos consecutivos — contador para el bloqueo (RNF-031).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bloqueado_hasta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Momento hasta el cual la cuenta queda blooeada tras 5 intentos (15 min).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automática de creación del registro.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tabla-sesiones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sesiones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sesiones explícitas de autenticación (Capa 6</w:t>
      </w:r>
      <w:r>
        <w:t xml:space="preserve"> </w:t>
      </w:r>
      <w:r>
        <w:rPr>
          <w:rStyle w:val="VerbatimChar"/>
        </w:rPr>
        <w:t xml:space="preserve">Usuario·Sesión</w:t>
      </w:r>
      <w:r>
        <w:t xml:space="preserve">); el JWT/sid referencia esta fila y cada petición valida</w:t>
      </w:r>
      <w:r>
        <w:t xml:space="preserve"> </w:t>
      </w:r>
      <w:r>
        <w:rPr>
          <w:rStyle w:val="VerbatimChar"/>
        </w:rPr>
        <w:t xml:space="preserve">revocada=false</w:t>
      </w:r>
      <w:r>
        <w:t xml:space="preserve"> </w:t>
      </w:r>
      <w:r>
        <w:t xml:space="preserve">y habilitación (rol vigente — RNF-026).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sesión (referenciado por el JWT/sid).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de la sesión → usuarios.id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creada_en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del login.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ultima_actividad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Última petición de la sesión (soporte del idle definido por env var).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revocada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= sesión inválida (logout o deshabilitación de cuenta — RN-005).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0"/>
    <w:bookmarkStart w:id="21" w:name="tabla-tokens_recuperacion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tokens_recuperacion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tokens de recuperación de contraseña de un solo uso; se guarda 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del token (nunca el token en claro).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token.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destinatario → usuarios.id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 (UNIQUE, IDX)</w:t>
            </w:r>
          </w:p>
        </w:tc>
        <w:tc>
          <w:tcPr/>
          <w:p>
            <w:pPr>
              <w:pStyle w:val="Compact"/>
            </w:pPr>
            <w:r>
              <w:t xml:space="preserve">Hash criptográfico del token.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expiración del token.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= ya consumido (single-use).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emisión.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semánticas</w:t>
      </w:r>
      <w:r>
        <w:t xml:space="preserve">: expirado o ya usado → inválido. La contraseña nueva revoca todas las sesiones del usuario (RS de seguridad).</w:t>
      </w:r>
    </w:p>
    <w:bookmarkEnd w:id="21"/>
    <w:bookmarkStart w:id="22" w:name="dominio-empresas-e-ingesta"/>
    <w:p>
      <w:pPr>
        <w:pStyle w:val="Heading2"/>
      </w:pPr>
      <w:r>
        <w:t xml:space="preserve">Dominio: EMPRESAS E INGESTA</w:t>
      </w:r>
    </w:p>
    <w:bookmarkEnd w:id="22"/>
    <w:bookmarkStart w:id="23" w:name="tabla-empresa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empresas</w:t>
      </w:r>
    </w:p>
    <w:p>
      <w:pPr>
        <w:pStyle w:val="FirstParagraph"/>
      </w:pPr>
      <w:r>
        <w:t xml:space="preserve">Descripción: Catálogo de empresas analizables gestionado por el Superadmin. En fase 1 no existe columna</w:t>
      </w:r>
      <w:r>
        <w:t xml:space="preserve"> </w:t>
      </w:r>
      <w:r>
        <w:rPr>
          <w:rStyle w:val="VerbatimChar"/>
        </w:rPr>
        <w:t xml:space="preserve">pais</w:t>
      </w:r>
      <w:r>
        <w:t xml:space="preserve"> </w:t>
      </w:r>
      <w:r>
        <w:t xml:space="preserve">— todas las empresas cotizan en la Bolsa de Valores de Lima (Perú); el CHECK garantiza los sectores en la propia BD.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empresa (gen_random_uuid).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Razón social / nombre comercial; único.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VARCHAR (CHECK)</w:t>
            </w:r>
          </w:p>
        </w:tc>
        <w:tc>
          <w:tcPr/>
          <w:p>
            <w:pPr>
              <w:pStyle w:val="Compact"/>
            </w:pPr>
            <w:r>
              <w:t xml:space="preserve">Sector cerrado en vigencia: Minería | Petróleo y Gas | Energía (RN-019).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false = no seleccionable en ingesta/análisis (default true).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creación del registro.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3"/>
    <w:bookmarkStart w:id="24" w:name="tabla-documento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documentos</w:t>
      </w:r>
    </w:p>
    <w:p>
      <w:pPr>
        <w:pStyle w:val="FirstParagraph"/>
      </w:pPr>
      <w:r>
        <w:t xml:space="preserve">Descripción: Cada archivo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de memoria anual o reporte de sostenibilidad, con su estado del pipeline síncrono (RF-022). El sha256 es el borde anti-duplicado de contenido y</w:t>
      </w:r>
      <w:r>
        <w:t xml:space="preserve"> </w:t>
      </w:r>
      <w:r>
        <w:rPr>
          <w:rStyle w:val="VerbatimChar"/>
        </w:rPr>
        <w:t xml:space="preserve">tamano_bytes</w:t>
      </w:r>
      <w:r>
        <w:t xml:space="preserve"> </w:t>
      </w:r>
      <w:r>
        <w:t xml:space="preserve">con CHECK garantiza el límite ≤ 50 MB.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documento.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Empresa de origen → empresas.id (RN-014).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creada_por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que ingestó → usuarios.id (⌈Superadmin⌉).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Año del documento; CHECK entre 2000 y 2100.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VARCHAR (CHECK)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memoria_anual \| reporte_sostenibilidad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nombre_archivo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; guard: sin espacios ni mayúsculas.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CHAR (UNIQUE)</w:t>
            </w:r>
          </w:p>
        </w:tc>
        <w:tc>
          <w:tcPr/>
          <w:p>
            <w:pPr>
              <w:pStyle w:val="Compact"/>
            </w:pPr>
            <w:r>
              <w:t xml:space="preserve">Huella criptográfica del archivo (RNF-010).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tamano_bytes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BIGINT (CHECK ≤ 50 MB)</w:t>
            </w:r>
          </w:p>
        </w:tc>
        <w:tc>
          <w:tcPr/>
          <w:p>
            <w:pPr>
              <w:pStyle w:val="Compact"/>
            </w:pPr>
            <w:r>
              <w:t xml:space="preserve">Tamaño real del archivo (RN-019).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estado_ingesta 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indexado \| observado \| rechazado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motivo_rechazo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Texto exacto del guard en rechazo/observación.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ingesta.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Restricciones: UNIQUE</w:t>
      </w:r>
      <w:r>
        <w:t xml:space="preserve"> </w:t>
      </w:r>
      <w:r>
        <w:rPr>
          <w:rStyle w:val="VerbatimChar"/>
        </w:rPr>
        <w:t xml:space="preserve">(empresa_id, anho, tipo)</w:t>
      </w:r>
      <w:r>
        <w:t xml:space="preserve"> </w:t>
      </w:r>
      <w:r>
        <w:t xml:space="preserve">parcial</w:t>
      </w:r>
      <w:r>
        <w:t xml:space="preserve"> </w:t>
      </w:r>
      <w:r>
        <w:rPr>
          <w:rStyle w:val="VerbatimChar"/>
        </w:rPr>
        <w:t xml:space="preserve">WHERE estado='indexado'</w:t>
      </w:r>
      <w:r>
        <w:t xml:space="preserve"> </w:t>
      </w:r>
      <w:r>
        <w:t xml:space="preserve">(unicidad documental de documentos exitosos). Integridad atómica (RN-039/RNF-017): documento rechazado → cero fragmentos, cero análisis; sin DELETE físico (RN-030).</w:t>
      </w:r>
    </w:p>
    <w:bookmarkEnd w:id="24"/>
    <w:bookmarkStart w:id="25" w:name="X4a7d7608ce820e279b766696ec82b263cd0d6c1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fragmentos_documento</w:t>
      </w:r>
      <w:r>
        <w:t xml:space="preserve"> </w:t>
      </w:r>
      <w:r>
        <w:t xml:space="preserve">(BD vectorizada — núcleo del RAG)</w:t>
      </w:r>
    </w:p>
    <w:p>
      <w:pPr>
        <w:pStyle w:val="FirstParagraph"/>
      </w:pPr>
      <w:r>
        <w:t xml:space="preserve">Descripción: Fragmentos del documento con su embedding — antes</w:t>
      </w:r>
      <w:r>
        <w:t xml:space="preserve"> </w:t>
      </w:r>
      <w:r>
        <w:rPr>
          <w:rStyle w:val="VerbatimChar"/>
        </w:rPr>
        <w:t xml:space="preserve">chunks_embeddings</w:t>
      </w:r>
      <w:r>
        <w:t xml:space="preserve">. Es la tabla que consulta el AI Harness (Capa 5) en cada pregunta del chat y la fuente de las citas verificables.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del fragmento (antes chunk_id).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Documento origen → documentos.id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Posición correlativa del fragmento dentro del documento; UNIQUE</w:t>
            </w:r>
            <w:r>
              <w:t xml:space="preserve"> </w:t>
            </w:r>
            <w:r>
              <w:rPr>
                <w:rStyle w:val="VerbatimChar"/>
              </w:rPr>
              <w:t xml:space="preserve">(documento_id, indice)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Encabezado markdown de la sección origen — llave de la cita (RN-022).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Transcripción del fragmento (sección o fila de tabla).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t xml:space="preserve">(dim)</w:t>
            </w:r>
          </w:p>
        </w:tc>
        <w:tc>
          <w:tcPr/>
          <w:p>
            <w:pPr>
              <w:pStyle w:val="Compact"/>
            </w:pPr>
            <w:r>
              <w:t xml:space="preserve">VECTOR(dim)</w:t>
            </w:r>
          </w:p>
        </w:tc>
        <w:tc>
          <w:tcPr/>
          <w:p>
            <w:pPr>
              <w:pStyle w:val="Compact"/>
            </w:pPr>
            <w:r>
              <w:t xml:space="preserve">Vector devuelto por el servicio de embeddings</w:t>
            </w:r>
            <w:r>
              <w:t xml:space="preserve"> </w:t>
            </w:r>
            <w:r>
              <w:rPr>
                <w:b/>
                <w:bCs/>
              </w:rPr>
              <w:t xml:space="preserve">por API</w:t>
            </w:r>
            <w:r>
              <w:t xml:space="preserve"> </w:t>
            </w:r>
            <w:r>
              <w:t xml:space="preserve">del proveedor de IA; la dimensión depende del modelo (fijar en migración, p. ej. 1024). Índice</w:t>
            </w:r>
            <w:r>
              <w:t xml:space="preserve"> </w:t>
            </w:r>
            <w:r>
              <w:rPr>
                <w:b/>
                <w:bCs/>
              </w:rPr>
              <w:t xml:space="preserve">HNSW cosine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Empresa_id, año, tipo doc, fila de tabla origen y otros contextos.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indexación.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5"/>
    <w:bookmarkStart w:id="26" w:name="dominio-análisis-gri"/>
    <w:p>
      <w:pPr>
        <w:pStyle w:val="Heading2"/>
      </w:pPr>
      <w:r>
        <w:t xml:space="preserve">Dominio: ANÁLISIS GRI</w:t>
      </w:r>
    </w:p>
    <w:bookmarkEnd w:id="26"/>
    <w:bookmarkStart w:id="27" w:name="tabla-catalogo_gri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catalogo_gri</w:t>
      </w:r>
    </w:p>
    <w:p>
      <w:pPr>
        <w:pStyle w:val="FirstParagraph"/>
      </w:pPr>
      <w:r>
        <w:t xml:space="preserve">Descripción:</w:t>
      </w:r>
      <w:r>
        <w:t xml:space="preserve"> </w:t>
      </w:r>
      <w:r>
        <w:rPr>
          <w:b/>
          <w:bCs/>
        </w:rPr>
        <w:t xml:space="preserve">El estándar</w:t>
      </w:r>
      <w:r>
        <w:t xml:space="preserve"> </w:t>
      </w:r>
      <w:r>
        <w:t xml:space="preserve">— catálogo precargado (seed) del GRI Universal + tópicos de las series 100/200/300/400. Define el criterio objetivo del indicador (el punto</w:t>
      </w:r>
      <w:r>
        <w:t xml:space="preserve"> </w:t>
      </w:r>
      <w:r>
        <w:t xml:space="preserve">“GRI ideal”</w:t>
      </w:r>
      <w:r>
        <w:t xml:space="preserve"> </w:t>
      </w:r>
      <w:r>
        <w:t xml:space="preserve">explicitado por el PO); la IA no decide el estándar.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VARCHAR (PK)</w:t>
            </w:r>
          </w:p>
        </w:tc>
        <w:tc>
          <w:tcPr/>
          <w:p>
            <w:pPr>
              <w:pStyle w:val="Compact"/>
            </w:pPr>
            <w:r>
              <w:t xml:space="preserve">Código GRI oficial (p. ej.</w:t>
            </w:r>
            <w:r>
              <w:t xml:space="preserve"> </w:t>
            </w:r>
            <w:r>
              <w:rPr>
                <w:rStyle w:val="VerbatimChar"/>
              </w:rPr>
              <w:t xml:space="preserve">GRI 403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Serie del estándar:</w:t>
            </w:r>
            <w:r>
              <w:t xml:space="preserve"> </w:t>
            </w:r>
            <w:r>
              <w:rPr>
                <w:rStyle w:val="VerbatimChar"/>
              </w:rPr>
              <w:t xml:space="preserve">100 \| 200 \| 300 \| 400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tema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Denominación del tema (p. ej. Seguridad y Salud).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Descripción del indicador y su alcance.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elementos_minimos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 de elementos esperados para el estado OK</w:t>
            </w:r>
            <w:r>
              <w:t xml:space="preserve"> </w:t>
            </w:r>
            <w:r>
              <w:t xml:space="preserve">(con el PO — restaurado).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Palabras clave de evidencia del motor determinista (restaurado).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version_catalogo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Versión del estándar referida (RS-11).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7"/>
    <w:bookmarkStart w:id="28" w:name="tabla-gri_analisi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gri_analisis</w:t>
      </w:r>
    </w:p>
    <w:p>
      <w:pPr>
        <w:pStyle w:val="FirstParagraph"/>
      </w:pPr>
      <w:r>
        <w:t xml:space="preserve">Descripción:</w:t>
      </w:r>
      <w:r>
        <w:t xml:space="preserve"> </w:t>
      </w:r>
      <w:r>
        <w:rPr>
          <w:b/>
          <w:bCs/>
        </w:rPr>
        <w:t xml:space="preserve">La tabla del análisis</w:t>
      </w:r>
      <w:r>
        <w:t xml:space="preserve"> </w:t>
      </w:r>
      <w:r>
        <w:t xml:space="preserve">— fila por documento + código GRI (empresa y año se derivan del documento). Única tabla de resultados (UNIQUE documento+código). Se puebla automáticamente al terminar la ingesta; guarda la revisión del Administrador (</w:t>
      </w:r>
      <w:r>
        <w:rPr>
          <w:rStyle w:val="VerbatimChar"/>
        </w:rPr>
        <w:t xml:space="preserve">validado_por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fila de análisis.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Documento fuente → documentos.id (empresa/año derivables de él).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gri_codigo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VARCHAR (FK)</w:t>
            </w:r>
          </w:p>
        </w:tc>
        <w:tc>
          <w:tcPr/>
          <w:p>
            <w:pPr>
              <w:pStyle w:val="Compact"/>
            </w:pPr>
            <w:r>
              <w:t xml:space="preserve">Código analizado → catalogo_gri.codigo.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Fragmento fuente de la cita textual (permite verificación de la evidencia).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cita_textual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Transcripción textual verbatim del fragmento/documento.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estado_gri (ENUM)</w:t>
            </w:r>
          </w:p>
        </w:tc>
        <w:tc>
          <w:tcPr/>
          <w:p>
            <w:pPr>
              <w:pStyle w:val="Compact"/>
            </w:pPr>
            <w:r>
              <w:t xml:space="preserve">Estado del análisis:</w:t>
            </w:r>
            <w:r>
              <w:t xml:space="preserve"> </w:t>
            </w:r>
            <w:r>
              <w:rPr>
                <w:rStyle w:val="VerbatimChar"/>
              </w:rPr>
              <w:t xml:space="preserve">OK \| BAJA SUSTANCIA \| SUB-REPORTADO</w:t>
            </w:r>
            <w:r>
              <w:t xml:space="preserve"> </w:t>
            </w:r>
            <w:r>
              <w:t xml:space="preserve">— asignado</w:t>
            </w:r>
            <w:r>
              <w:t xml:space="preserve"> </w:t>
            </w:r>
            <w:r>
              <w:rPr>
                <w:b/>
                <w:bCs/>
              </w:rPr>
              <w:t xml:space="preserve">manualmente</w:t>
            </w:r>
            <w:r>
              <w:t xml:space="preserve"> </w:t>
            </w:r>
            <w:r>
              <w:t xml:space="preserve">por el Administrador (no existe</w:t>
            </w:r>
            <w:r>
              <w:t xml:space="preserve"> </w:t>
            </w:r>
            <w:r>
              <w:rPr>
                <w:rStyle w:val="VerbatimChar"/>
              </w:rPr>
              <w:t xml:space="preserve">estado_sugerido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validado_por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Administrador que asignó el estado (NULL = pendiente CU006).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version_catalogo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Versión del catálogo al analizar (RS-11: snapshot fiel).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del poblado automático.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Restricción:</w:t>
      </w:r>
      <w:r>
        <w:t xml:space="preserve"> </w:t>
      </w:r>
      <w:r>
        <w:rPr>
          <w:b/>
          <w:bCs/>
        </w:rPr>
        <w:t xml:space="preserve">UNIQUE parcial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(documento_id, gri_codigo)</w:t>
      </w:r>
      <w:r>
        <w:t xml:space="preserve"> </w:t>
      </w:r>
      <w:r>
        <w:t xml:space="preserve">— una sola fila de resultados por documento/código (evita duplicados de análisis). El historial de cambios de estado se registra en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con evento</w:t>
      </w:r>
      <w:r>
        <w:t xml:space="preserve"> </w:t>
      </w:r>
      <w:r>
        <w:rPr>
          <w:rStyle w:val="VerbatimChar"/>
        </w:rPr>
        <w:t xml:space="preserve">AJUSTE_BRECHA</w:t>
      </w:r>
      <w:r>
        <w:t xml:space="preserve">.</w:t>
      </w:r>
    </w:p>
    <w:bookmarkEnd w:id="28"/>
    <w:bookmarkStart w:id="29" w:name="dominio-asistente-rag"/>
    <w:p>
      <w:pPr>
        <w:pStyle w:val="Heading2"/>
      </w:pPr>
      <w:r>
        <w:t xml:space="preserve">Dominio: ASISTENTE RAG</w:t>
      </w:r>
    </w:p>
    <w:bookmarkEnd w:id="29"/>
    <w:bookmarkStart w:id="30" w:name="tabla-consultas_asistente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consultas_asistente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Cada consulta al asistente IA (módulo Asistente — RAG con citas). Sustituye a la tabla</w:t>
      </w:r>
      <w:r>
        <w:t xml:space="preserve"> </w:t>
      </w:r>
      <w:r>
        <w:rPr>
          <w:rStyle w:val="VerbatimChar"/>
        </w:rPr>
        <w:t xml:space="preserve">uso_llm</w:t>
      </w:r>
      <w:r>
        <w:t xml:space="preserve"> </w:t>
      </w:r>
      <w:r>
        <w:t xml:space="preserve">como medidor del free tier (RNF-028: COUNT por día/modelo vs env var</w:t>
      </w:r>
      <w:r>
        <w:t xml:space="preserve"> </w:t>
      </w:r>
      <w:r>
        <w:rPr>
          <w:rStyle w:val="VerbatimChar"/>
        </w:rPr>
        <w:t xml:space="preserve">LLM_DAILY_LIMIT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consulta.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Administrador que consultó → usuarios.id.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Empresa activa en el momento de la consulta (NULL = sin empresa activa).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Año de consulta (si aplica).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Pregunta del usuario.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Respuesta generada por el asistente.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Modelo usado (p. ej. GLM-5.2 :free, respaldo).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(motor del medidor).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0"/>
    <w:bookmarkStart w:id="31" w:name="tabla-consulta_citas-nueva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consulta_citas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NUEVA</w:t>
      </w:r>
    </w:p>
    <w:p>
      <w:pPr>
        <w:pStyle w:val="FirstParagraph"/>
      </w:pPr>
      <w:r>
        <w:t xml:space="preserve">Descripción: Citas · fuentes de cada respuesta — constancia de la post-verificación de IDs citados (post-check). Cada cita debe existir en el contexto recuperado; si el LLM cita fuera del contexto, la cita no se inserta.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único de la cita.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Consulta a la que pertenece → consultas_asistente.id (ON DELETE CASCADE).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Fragmento citado → fragmentos_documento.id.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Posición de la cita en la respuesta.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Extracto textual enlazado al fragmento.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1"/>
    <w:bookmarkStart w:id="32" w:name="dominio-reportes"/>
    <w:p>
      <w:pPr>
        <w:pStyle w:val="Heading2"/>
      </w:pPr>
      <w:r>
        <w:t xml:space="preserve">Dominio: REPORTES</w:t>
      </w:r>
    </w:p>
    <w:bookmarkEnd w:id="32"/>
    <w:bookmarkStart w:id="33" w:name="tabla-reportes_prospeccion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reportes_prospeccion</w:t>
      </w:r>
    </w:p>
    <w:p>
      <w:pPr>
        <w:pStyle w:val="FirstParagraph"/>
      </w:pPr>
      <w:r>
        <w:t xml:space="preserve">Descripción: Entregables PDF inmutables — fusiona</w:t>
      </w:r>
      <w:r>
        <w:t xml:space="preserve"> </w:t>
      </w:r>
      <w:r>
        <w:rPr>
          <w:rStyle w:val="VerbatimChar"/>
        </w:rPr>
        <w:t xml:space="preserve">reportes_generados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reporte_detalle_snapshot</w:t>
      </w:r>
      <w:r>
        <w:t xml:space="preserve"> </w:t>
      </w:r>
      <w:r>
        <w:t xml:space="preserve">del diseño v2 (detalle JSONB congelado + PDF inmutable con hash).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del reporte.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Empresa reportada → empresas.id.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generado_por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Administrador que emitió el PDF → usuarios.id.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anho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t xml:space="preserve">Año analizado en el PDF.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pdf_path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VARCHAR (UNIQUE)</w:t>
            </w:r>
          </w:p>
        </w:tc>
        <w:tc>
          <w:tcPr/>
          <w:p>
            <w:pPr>
              <w:pStyle w:val="Compact"/>
            </w:pPr>
            <w:r>
              <w:t xml:space="preserve">Ruta del PDF generado (WeasyPrint).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sha256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CHAR (UNIQUE)</w:t>
            </w:r>
          </w:p>
        </w:tc>
        <w:tc>
          <w:tcPr/>
          <w:p>
            <w:pPr>
              <w:pStyle w:val="Compact"/>
            </w:pPr>
            <w:r>
              <w:t xml:space="preserve">Hash del binario generado (auditoría de integridad).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contenido_snapshot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Estado congelado al emitir: brechas con</w:t>
            </w:r>
            <w:r>
              <w:t xml:space="preserve"> </w:t>
            </w:r>
            <w:r>
              <w:rPr>
                <w:rStyle w:val="VerbatimChar"/>
              </w:rPr>
              <w:t xml:space="preserve">estado_final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cita textual</w:t>
            </w:r>
            <w:r>
              <w:t xml:space="preserve"> </w:t>
            </w:r>
            <w:r>
              <w:t xml:space="preserve">+ sanciones con montos (RS-18).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creado_en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de generación.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Restricciones: UNIQUE parcial</w:t>
      </w:r>
      <w:r>
        <w:t xml:space="preserve"> </w:t>
      </w:r>
      <w:r>
        <w:rPr>
          <w:rStyle w:val="VerbatimChar"/>
        </w:rPr>
        <w:t xml:space="preserve">(empresa_id, anho)</w:t>
      </w:r>
      <w:r>
        <w:t xml:space="preserve"> </w:t>
      </w:r>
      <w:r>
        <w:t xml:space="preserve">— RNF-032. Reglas: cero LLM en la generación (RN-026); el PDF/snapshot es fiel a su fecha (RN-027).</w:t>
      </w:r>
    </w:p>
    <w:bookmarkEnd w:id="33"/>
    <w:bookmarkStart w:id="34" w:name="dominio-auditoría"/>
    <w:p>
      <w:pPr>
        <w:pStyle w:val="Heading2"/>
      </w:pPr>
      <w:r>
        <w:t xml:space="preserve">Dominio: AUDITORÍA</w:t>
      </w:r>
    </w:p>
    <w:bookmarkEnd w:id="34"/>
    <w:bookmarkStart w:id="35" w:name="tabla-auditoria-antes-auditoria_eventos"/>
    <w:p>
      <w:pPr>
        <w:pStyle w:val="Heading2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auditoria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auditoria_eventos</w:t>
      </w:r>
      <w:r>
        <w:t xml:space="preserve">)</w:t>
      </w:r>
    </w:p>
    <w:p>
      <w:pPr>
        <w:pStyle w:val="FirstParagraph"/>
      </w:pPr>
      <w:r>
        <w:t xml:space="preserve">Descripción: Bitácora de eventos sensibles</w:t>
      </w:r>
      <w:r>
        <w:t xml:space="preserve"> </w:t>
      </w:r>
      <w:r>
        <w:rPr>
          <w:b/>
          <w:bCs/>
        </w:rPr>
        <w:t xml:space="preserve">append-only</w:t>
      </w:r>
      <w:r>
        <w:t xml:space="preserve"> </w:t>
      </w:r>
      <w:r>
        <w:t xml:space="preserve">— la BD garantiza el append-only (REVOKE UPDATE/DELETE): la app solo puede INSERT/SELECT. El historial de cambios de estado vive aquí como evento</w:t>
      </w:r>
      <w:r>
        <w:t xml:space="preserve"> </w:t>
      </w:r>
      <w:r>
        <w:rPr>
          <w:rStyle w:val="VerbatimChar"/>
        </w:rPr>
        <w:t xml:space="preserve">AJUSTE_BRECHA</w:t>
      </w:r>
      <w:r>
        <w:t xml:space="preserve"> </w:t>
      </w:r>
      <w:r>
        <w:t xml:space="preserve">(sustituye a la tabla</w:t>
      </w:r>
      <w:r>
        <w:t xml:space="preserve"> </w:t>
      </w:r>
      <w:r>
        <w:rPr>
          <w:rStyle w:val="VerbatimChar"/>
        </w:rPr>
        <w:t xml:space="preserve">gri_analisis_historico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(PK)</w:t>
            </w:r>
          </w:p>
        </w:tc>
        <w:tc>
          <w:tcPr/>
          <w:p>
            <w:pPr>
              <w:pStyle w:val="Compact"/>
            </w:pPr>
            <w:r>
              <w:t xml:space="preserve">Identificador secuencial del evento.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Usuario implicado; nulo en eventos anónimos (p. ej. login fallido de correo inexistente).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empresa_id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Contexto de empresa opcional (FK visible en diagrama).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tipo_evento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tipo_evento_auditoria (ENUM)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 \| LOGIN_FALLIDO \| CAMBIO_ROL \| INGESTA \| INGESTA_FALLIDA \| GEN_REPORTE \| AJUSTE_BRECHA \| DESCARGA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Contexto por evento: hash, doc_id, motivo, anterior→nuevo, resultado de la operación (corregido: era VARCHAR(500)).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fecha_hora_utc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Fecha y hora UTC (RNF-034 — presentación America/Lima solo en la UI).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volumen-estimado"/>
    <w:p>
      <w:pPr>
        <w:pStyle w:val="Heading1"/>
      </w:pPr>
      <w:r>
        <w:t xml:space="preserve">3 · VOLUMEN ESTIMADO</w:t>
      </w:r>
    </w:p>
    <w:p>
      <w:pPr>
        <w:pStyle w:val="BlockText"/>
      </w:pPr>
      <w:r>
        <w:t xml:space="preserve">Estimación preliminar para el escenario de fase 1 (3 usuarios; 1 organización).</w:t>
      </w:r>
      <w:r>
        <w:t xml:space="preserve"> </w:t>
      </w:r>
      <w:r>
        <w:rPr>
          <w:b/>
          <w:bCs/>
        </w:rPr>
        <w:t xml:space="preserve">Cada empresa analizable define el volumen; crece con el área.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1"/>
        <w:gridCol w:w="1214"/>
        <w:gridCol w:w="54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Filas estimadas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Superadmin + 2 Administradores (acta 4 · REQ-10).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sesiones</w:t>
            </w:r>
          </w:p>
        </w:tc>
        <w:tc>
          <w:tcPr/>
          <w:p>
            <w:pPr>
              <w:pStyle w:val="Compact"/>
            </w:pPr>
            <w:r>
              <w:t xml:space="preserve">~3–30</w:t>
            </w:r>
          </w:p>
        </w:tc>
        <w:tc>
          <w:tcPr/>
          <w:p>
            <w:pPr>
              <w:pStyle w:val="Compact"/>
            </w:pPr>
            <w:r>
              <w:t xml:space="preserve">Por cada login hasta el logout/revocación (inactiva no elimina).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tokens_recuperacion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Uso ocasional (single-use).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</w:t>
            </w:r>
          </w:p>
        </w:tc>
        <w:tc>
          <w:tcPr/>
          <w:p>
            <w:pPr>
              <w:pStyle w:val="Compact"/>
            </w:pPr>
            <w:r>
              <w:t xml:space="preserve">3-10</w:t>
            </w:r>
          </w:p>
        </w:tc>
        <w:tc>
          <w:tcPr/>
          <w:p>
            <w:pPr>
              <w:pStyle w:val="Compact"/>
            </w:pPr>
            <w:r>
              <w:t xml:space="preserve">Catálogo de empresas ingestadas en fase 1 (mínimo 3 sectores).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documentos</w:t>
            </w:r>
          </w:p>
        </w:tc>
        <w:tc>
          <w:tcPr/>
          <w:p>
            <w:pPr>
              <w:pStyle w:val="Compact"/>
            </w:pPr>
            <w:r>
              <w:t xml:space="preserve">6–30</w:t>
            </w:r>
          </w:p>
        </w:tc>
        <w:tc>
          <w:tcPr/>
          <w:p>
            <w:pPr>
              <w:pStyle w:val="Compact"/>
            </w:pPr>
            <w:r>
              <w:t xml:space="preserve">Memorias anuales y reportes de sostenibilidad por empresa/año/tipo.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fragmentos_documento</w:t>
            </w:r>
          </w:p>
        </w:tc>
        <w:tc>
          <w:tcPr/>
          <w:p>
            <w:pPr>
              <w:pStyle w:val="Compact"/>
            </w:pPr>
            <w:r>
              <w:t xml:space="preserve">3k–8k</w:t>
            </w:r>
          </w:p>
        </w:tc>
        <w:tc>
          <w:tcPr/>
          <w:p>
            <w:pPr>
              <w:pStyle w:val="Compact"/>
            </w:pPr>
            <w:r>
              <w:t xml:space="preserve">~800–1000 fragmentos por documento (filas de tabla con ~800 chars por sección).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catalogo_gri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Catálogo cerrado del estándar</w:t>
            </w:r>
            <w:r>
              <w:t xml:space="preserve"> </w:t>
            </w:r>
            <w:r>
              <w:t xml:space="preserve">(40 códigos GRI del catálogo vigente — semilla del sistema).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gri_analisis</w:t>
            </w:r>
          </w:p>
        </w:tc>
        <w:tc>
          <w:tcPr/>
          <w:p>
            <w:pPr>
              <w:pStyle w:val="Compact"/>
            </w:pPr>
            <w:r>
              <w:t xml:space="preserve">40–400+</w:t>
            </w:r>
          </w:p>
        </w:tc>
        <w:tc>
          <w:tcPr/>
          <w:p>
            <w:pPr>
              <w:pStyle w:val="Compact"/>
            </w:pPr>
            <w:r>
              <w:t xml:space="preserve">Fila por documento/código (incluidos los OK).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sanciones</w:t>
            </w:r>
          </w:p>
        </w:tc>
        <w:tc>
          <w:tcPr/>
          <w:p>
            <w:pPr>
              <w:pStyle w:val="Compact"/>
            </w:pPr>
            <w:r>
              <w:t xml:space="preserve">variable (bajo–medio)</w:t>
            </w:r>
          </w:p>
        </w:tc>
        <w:tc>
          <w:tcPr/>
          <w:p>
            <w:pPr>
              <w:pStyle w:val="Compact"/>
            </w:pPr>
            <w:r>
              <w:t xml:space="preserve">Detección por patrones configurados en los documentos.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consultas_asistente</w:t>
            </w:r>
          </w:p>
        </w:tc>
        <w:tc>
          <w:tcPr/>
          <w:p>
            <w:pPr>
              <w:pStyle w:val="Compact"/>
            </w:pPr>
            <w:r>
              <w:t xml:space="preserve">200/día</w:t>
            </w:r>
          </w:p>
        </w:tc>
        <w:tc>
          <w:tcPr/>
          <w:p>
            <w:pPr>
              <w:pStyle w:val="Compact"/>
            </w:pPr>
            <w:r>
              <w:t xml:space="preserve">Free tier —</w:t>
            </w:r>
            <w:r>
              <w:t xml:space="preserve"> </w:t>
            </w:r>
            <w:r>
              <w:rPr>
                <w:rStyle w:val="VerbatimChar"/>
              </w:rPr>
              <w:t xml:space="preserve">LLM_DAILY_LIMIT</w:t>
            </w:r>
            <w:r>
              <w:t xml:space="preserve"> </w:t>
            </w:r>
            <w:r>
              <w:t xml:space="preserve">(200).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consulta_citas</w:t>
            </w:r>
          </w:p>
        </w:tc>
        <w:tc>
          <w:tcPr/>
          <w:p>
            <w:pPr>
              <w:pStyle w:val="Compact"/>
            </w:pPr>
            <w:r>
              <w:t xml:space="preserve">~4 por respuesta</w:t>
            </w:r>
          </w:p>
        </w:tc>
        <w:tc>
          <w:tcPr/>
          <w:p>
            <w:pPr>
              <w:pStyle w:val="Compact"/>
            </w:pPr>
            <w:r>
              <w:t xml:space="preserve">k=4 (post-check constantes por IDs).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reportes_prospeccion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 reporte por empresa/año (RNF-032)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creciente</w:t>
            </w:r>
          </w:p>
        </w:tc>
        <w:tc>
          <w:tcPr/>
          <w:p>
            <w:pPr>
              <w:pStyle w:val="Compact"/>
            </w:pPr>
            <w:r>
              <w:t xml:space="preserve">Participación mensual si el volumen crece; fase 1 = monolito simple sin particiones.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9a01f0138e126c8ac308944b65b0ef31f4ae70"/>
    <w:p>
      <w:pPr>
        <w:pStyle w:val="Heading1"/>
      </w:pPr>
      <w:r>
        <w:t xml:space="preserve">4 · PENDIENTES DE IMPLEMENTACIÓN (Próximos pasos)</w:t>
      </w:r>
    </w:p>
    <w:p>
      <w:pPr>
        <w:pStyle w:val="Compact"/>
        <w:numPr>
          <w:ilvl w:val="0"/>
          <w:numId w:val="1003"/>
        </w:numPr>
      </w:pPr>
      <w:r>
        <w:t xml:space="preserve">☐ Congelar diseño (acuerdo del equipo sobre las tablas retiradas y el UNIQUE de reportes).</w:t>
      </w:r>
    </w:p>
    <w:p>
      <w:pPr>
        <w:pStyle w:val="Compact"/>
        <w:numPr>
          <w:ilvl w:val="0"/>
          <w:numId w:val="1003"/>
        </w:numPr>
      </w:pPr>
      <w:r>
        <w:t xml:space="preserve">⚙ DDL físico de los 3</w:t>
      </w:r>
      <w:r>
        <w:t xml:space="preserve"> </w:t>
      </w:r>
      <w:r>
        <w:rPr>
          <w:b/>
          <w:bCs/>
        </w:rPr>
        <w:t xml:space="preserve">dominios</w:t>
      </w:r>
      <w:r>
        <w:t xml:space="preserve"> </w:t>
      </w:r>
      <w:r>
        <w:t xml:space="preserve">en migración (fijar dimension de embeddings p. ej.</w:t>
      </w:r>
      <w:r>
        <w:t xml:space="preserve"> </w:t>
      </w:r>
      <w:r>
        <w:rPr>
          <w:rStyle w:val="VerbatimChar"/>
        </w:rPr>
        <w:t xml:space="preserve">vector(1024)</w:t>
      </w:r>
      <w:r>
        <w:t xml:space="preserve">, trigger del append-only en auditoría).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VOLUMEN ESTIMADO</w:t>
      </w:r>
      <w:r>
        <w:t xml:space="preserve"> </w:t>
      </w:r>
      <w:r>
        <w:t xml:space="preserve">se completa la carga (3 usuarios, escenario académico).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PROTOTIPO / DISEÑO ARQUITECTÓNICO</w:t>
      </w:r>
      <w:r>
        <w:t xml:space="preserve"> </w:t>
      </w:r>
      <w:r>
        <w:t xml:space="preserve">→ prototipo (mock vivo) y el estado de la BD. documento correlato del mock vivo.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2026-09-19T00:12:23Z</dcterms:created>
  <dcterms:modified xsi:type="dcterms:W3CDTF">2026-09-19T00:12:23Z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