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14594633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3D848CDC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DA40B6">
              <w:rPr>
                <w:rFonts w:ascii="Arial" w:hAnsi="Arial" w:cs="Arial"/>
                <w:b/>
                <w:sz w:val="20"/>
                <w:highlight w:val="green"/>
              </w:rPr>
            </w:r>
            <w:r w:rsidR="00DA40B6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40B6">
              <w:rPr>
                <w:rFonts w:ascii="Arial" w:hAnsi="Arial" w:cs="Arial"/>
                <w:b/>
                <w:sz w:val="20"/>
              </w:rPr>
            </w:r>
            <w:r w:rsidR="00DA40B6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DA40B6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DA40B6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DA40B6">
              <w:rPr>
                <w:rFonts w:ascii="Arial" w:hAnsi="Arial" w:cs="Arial"/>
                <w:b/>
                <w:sz w:val="20"/>
                <w:highlight w:val="green"/>
              </w:rPr>
            </w:r>
            <w:r w:rsidR="00DA40B6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13D51400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5D2144" w:rsidRPr="005D2144">
              <w:rPr>
                <w:rFonts w:ascii="Arial" w:hAnsi="Arial" w:cs="Arial"/>
                <w:b/>
                <w:sz w:val="20"/>
              </w:rPr>
              <w:t>GRIMAUX Vivian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57371AB3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B709A">
              <w:rPr>
                <w:rFonts w:ascii="Arial" w:hAnsi="Arial" w:cs="Arial"/>
                <w:b/>
                <w:color w:val="FF0000"/>
                <w:sz w:val="20"/>
              </w:rPr>
              <w:t>Votre matricule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1BE3A8C5"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10EEE62A" w14:textId="00FB223F"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14:paraId="653BE509" w14:textId="075A114E"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au seins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320A3412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3D15512E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14:paraId="653BE511" w14:textId="77777777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026D2D65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77777777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7B239E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40B6">
              <w:rPr>
                <w:rFonts w:ascii="Arial" w:hAnsi="Arial" w:cs="Arial"/>
                <w:b/>
                <w:sz w:val="20"/>
              </w:rPr>
            </w:r>
            <w:r w:rsidR="00DA40B6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7B239E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DA40B6">
              <w:rPr>
                <w:rFonts w:ascii="Arial" w:hAnsi="Arial" w:cs="Arial"/>
                <w:b/>
                <w:sz w:val="20"/>
                <w:highlight w:val="green"/>
              </w:rPr>
            </w:r>
            <w:r w:rsidR="00DA40B6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62050556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72F6A9EB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14:paraId="1F213C42" w14:textId="06B127C8"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14:paraId="4EEFAEA2" w14:textId="5EEFEAA1"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1 – A.4.1.2 – A.4.1.3 - 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A.4.1.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7 - 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A.4.1.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8 - 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A.4.1.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9 - 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A.4.1.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10 – A.4.2.4</w:t>
            </w:r>
          </w:p>
          <w:p w14:paraId="653BE516" w14:textId="7F89DF50"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23B378BB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6395513C" w14:textId="435D7AAE"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14:paraId="2E2ECCDF" w14:textId="591B5EB7"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14:paraId="0A0D6B59" w14:textId="49B51C12"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14:paraId="455A5728" w14:textId="09F568D8"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14:paraId="7A9A57EE" w14:textId="02BBCFC1"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>Code - SublimeText</w:t>
            </w:r>
          </w:p>
          <w:p w14:paraId="4E4FF81E" w14:textId="22108A8D"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Serveur Web Apache 2</w:t>
            </w:r>
          </w:p>
          <w:p w14:paraId="4D38A4E7" w14:textId="1FADBB49"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14:paraId="1D63ED7C" w14:textId="44589FA7"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14:paraId="1652EFDD" w14:textId="45C6D718"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la gestions de note de frais</w:t>
            </w:r>
          </w:p>
          <w:p w14:paraId="653BE519" w14:textId="2CD4F9F1" w:rsidR="007C2ECD" w:rsidRPr="005D345E" w:rsidRDefault="00DA40B6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 w:rsidRPr="00626112">
              <w:rPr>
                <w:rFonts w:ascii="Arial" w:hAnsi="Arial" w:cs="Arial"/>
                <w:noProof/>
                <w:sz w:val="18"/>
                <w:szCs w:val="18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22726C4D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36C5FF8E" w:rsidR="00E86718" w:rsidRPr="00626112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Cahier des charges</w:t>
            </w:r>
          </w:p>
          <w:p w14:paraId="3C192BD4" w14:textId="0ABDB52E" w:rsidR="006F6D91" w:rsidRPr="00626112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Pr="00626112">
              <w:rPr>
                <w:rFonts w:ascii="Arial" w:hAnsi="Arial" w:cs="Arial"/>
                <w:sz w:val="18"/>
                <w:szCs w:val="18"/>
              </w:rPr>
              <w:t xml:space="preserve"> fonctionnelle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278C650B" w14:textId="72B8F25A"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Spécifications techniques</w:t>
            </w:r>
          </w:p>
          <w:p w14:paraId="4D5AB3ED" w14:textId="2FDB884A"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Zoning – </w:t>
            </w:r>
            <w:r w:rsidR="000878FA" w:rsidRPr="00626112">
              <w:rPr>
                <w:rFonts w:ascii="Arial" w:hAnsi="Arial" w:cs="Arial"/>
                <w:sz w:val="18"/>
                <w:szCs w:val="18"/>
              </w:rPr>
              <w:t>Wireframes</w:t>
            </w:r>
          </w:p>
          <w:p w14:paraId="17886B41" w14:textId="32D9B44A" w:rsidR="007A71AB" w:rsidRPr="00626112" w:rsidRDefault="007A71AB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Dictionnaires des données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62561F5A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7A8BEA24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aux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3" w14:textId="104CF7EC"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14:paraId="653BE524" w14:textId="1C94EC86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6EFC3DB6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653BE529" w14:textId="483B1CFF"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14:paraId="45227D4F" w14:textId="5DD86F8B"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</w:rPr>
        <w:drawing>
          <wp:anchor distT="0" distB="0" distL="114300" distR="114300" simplePos="0" relativeHeight="251658240" behindDoc="1" locked="0" layoutInCell="1" allowOverlap="1" wp14:anchorId="77A70E71" wp14:editId="4D737B39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087D9" w14:textId="533C0E39"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41FA7BAC" w14:textId="41673C97"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600D4D87" w14:textId="77777777"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4F435126" w14:textId="77777777"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14:paraId="648CF259" w14:textId="17177773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prestations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14:paraId="0E3A2E7B" w14:textId="02CB0350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14:paraId="6915D89B" w14:textId="77777777"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14:paraId="0623ADCB" w14:textId="5FC3A134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14:paraId="21CF0569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14:paraId="4E875362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14:paraId="3896C067" w14:textId="7DB1E731"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14:paraId="6A426F21" w14:textId="24292AD0"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14:paraId="6D470080" w14:textId="39BC3CD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14:paraId="0576D7F4" w14:textId="3DFEB374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14:paraId="6F373172" w14:textId="465064E5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</w:p>
    <w:p w14:paraId="153B71EC" w14:textId="4C677823"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14:paraId="2678B620" w14:textId="7FEFBC1E"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2F5C3B37" w14:textId="523AC216"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développer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>, HTML, CSS et Javascript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Genos, Bootstrap et JQuery</w:t>
      </w:r>
    </w:p>
    <w:p w14:paraId="53C7A40C" w14:textId="77777777"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14:paraId="278A7DE9" w14:textId="77777777"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7E32FE5B" w14:textId="2CED52B4"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14:paraId="4E61DFF4" w14:textId="543824D7"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14:paraId="7E97A15F" w14:textId="1A16AC3B"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5C28D9B7" w14:textId="4F06DC45"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bookmarkStart w:id="1" w:name="_GoBack"/>
      <w:bookmarkEnd w:id="1"/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réalis</w:t>
      </w:r>
      <w:r w:rsidR="00B101AB">
        <w:rPr>
          <w:rFonts w:ascii="Arial" w:hAnsi="Arial" w:cs="Arial"/>
          <w:bCs/>
          <w:iCs/>
          <w:color w:val="17365D"/>
          <w:szCs w:val="16"/>
        </w:rPr>
        <w:t>és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14:paraId="41DB3835" w14:textId="12081B27"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28DEA823" w14:textId="027BB996"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>de l’application fut rédigés.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69A1D" w14:textId="77777777" w:rsidR="00DA40B6" w:rsidRDefault="00DA40B6" w:rsidP="00227204">
      <w:r>
        <w:separator/>
      </w:r>
    </w:p>
  </w:endnote>
  <w:endnote w:type="continuationSeparator" w:id="0">
    <w:p w14:paraId="30402439" w14:textId="77777777" w:rsidR="00DA40B6" w:rsidRDefault="00DA40B6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1855BCC4" w:rsidR="009C1F96" w:rsidRDefault="007B239E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4931" w14:textId="77777777" w:rsidR="00DA40B6" w:rsidRDefault="00DA40B6" w:rsidP="00227204">
      <w:r>
        <w:separator/>
      </w:r>
    </w:p>
  </w:footnote>
  <w:footnote w:type="continuationSeparator" w:id="0">
    <w:p w14:paraId="041CE396" w14:textId="77777777" w:rsidR="00DA40B6" w:rsidRDefault="00DA40B6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00008-6FED-4FF8-925E-8B0CF516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Vivian G</cp:lastModifiedBy>
  <cp:revision>146</cp:revision>
  <cp:lastPrinted>2015-08-31T15:15:00Z</cp:lastPrinted>
  <dcterms:created xsi:type="dcterms:W3CDTF">2015-05-21T14:10:00Z</dcterms:created>
  <dcterms:modified xsi:type="dcterms:W3CDTF">2020-02-18T12:46:00Z</dcterms:modified>
</cp:coreProperties>
</file>