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33E" w:rsidRDefault="00BD38B1">
      <w:pPr>
        <w:spacing w:after="0" w:line="259" w:lineRule="auto"/>
        <w:ind w:firstLine="0"/>
        <w:jc w:val="center"/>
      </w:pPr>
      <w:bookmarkStart w:id="0" w:name="_GoBack"/>
      <w:bookmarkEnd w:id="0"/>
      <w:r>
        <w:rPr>
          <w:b/>
          <w:color w:val="10201C"/>
          <w:sz w:val="48"/>
        </w:rPr>
        <w:t>FXGuard AI Technical Report</w:t>
      </w:r>
      <w:r>
        <w:t xml:space="preserve"> </w:t>
      </w:r>
    </w:p>
    <w:p w:rsidR="0053633E" w:rsidRDefault="00BD38B1">
      <w:pPr>
        <w:spacing w:after="61" w:line="265" w:lineRule="auto"/>
        <w:ind w:left="0" w:firstLine="0"/>
        <w:jc w:val="center"/>
      </w:pPr>
      <w:r>
        <w:rPr>
          <w:color w:val="5A6460"/>
          <w:sz w:val="26"/>
        </w:rPr>
        <w:t>Multicurrency exchange-rate risk forecasting and decision-support prototype</w:t>
      </w:r>
      <w:r/>
    </w:p>
    <w:p w:rsidR="0053633E" w:rsidRDefault="00BD38B1">
      <w:pPr>
        <w:spacing w:after="0" w:line="259" w:lineRule="auto"/>
        <w:ind w:left="0" w:firstLine="0"/>
        <w:jc w:val="center"/>
      </w:pPr>
      <w:r>
        <w:rPr>
          <w:color w:val="5A6460"/>
          <w:sz w:val="20"/>
        </w:rPr>
        <w:t>Prepared by: Liliane Gikundiro | Software Engineering and Machine Learning | African Leadership University</w:t>
      </w:r>
      <w:r>
        <w:t xml:space="preserve"> </w:t>
      </w:r>
    </w:p>
    <w:tbl>
      <w:tblPr>
        <w:tblStyle w:val="TableGrid"/>
        <w:tblW w:w="9360" w:type="dxa"/>
        <w:tblInd w:w="8" w:type="dxa"/>
        <w:tblCellMar>
          <w:top w:w="21" w:type="dxa"/>
          <w:left w:w="113" w:type="dxa"/>
          <w:bottom w:w="0" w:type="dxa"/>
          <w:right w:w="115" w:type="dxa"/>
        </w:tblCellMar>
        <w:tblLook w:val="04A0" w:firstRow="1" w:lastRow="0" w:firstColumn="1" w:lastColumn="0" w:noHBand="0" w:noVBand="1"/>
      </w:tblPr>
      <w:tblGrid>
        <w:gridCol w:w="9360"/>
      </w:tblGrid>
      <w:tr w:rsidR="0053633E">
        <w:trPr>
          <w:trHeight w:val="699"/>
        </w:trPr>
        <w:tc>
          <w:tcPr>
            <w:tcW w:w="9360" w:type="dxa"/>
            <w:tcBorders>
              <w:top w:val="single" w:sz="8" w:space="0" w:color="DADCE0"/>
              <w:left w:val="single" w:sz="8" w:space="0" w:color="DADCE0"/>
              <w:bottom w:val="single" w:sz="8" w:space="0" w:color="DADCE0"/>
              <w:right w:val="single" w:sz="8" w:space="0" w:color="DADCE0"/>
            </w:tcBorders>
            <w:shd w:val="clear" w:color="auto" w:fill="F4F6F9"/>
          </w:tcPr>
          <w:p w:rsidR="0053633E" w:rsidRDefault="00BD38B1">
            <w:pPr>
              <w:spacing w:after="5" w:line="259" w:lineRule="auto"/>
              <w:ind w:left="0" w:firstLine="0"/>
            </w:pPr>
            <w:r>
              <w:t xml:space="preserve"> </w:t>
            </w:r>
          </w:p>
        </w:tc>
      </w:tr>
    </w:tbl>
    <w:p w:rsidR="0053633E" w:rsidRDefault="00BD38B1">
      <w:pPr>
        <w:spacing w:after="422" w:line="259" w:lineRule="auto"/>
        <w:ind w:left="0" w:firstLine="0"/>
      </w:pPr>
      <w:r>
        <w:t xml:space="preserve"> </w:t>
      </w:r>
    </w:p>
    <w:p w:rsidR="0053633E" w:rsidRDefault="00BD38B1">
      <w:pPr>
        <w:pStyle w:val="Heading1"/>
        <w:ind w:left="285" w:hanging="300"/>
      </w:pPr>
      <w:r>
        <w:t xml:space="preserve">Project Overview </w:t>
      </w:r>
    </w:p>
    <w:p w:rsidR="0053633E" w:rsidRDefault="00BD38B1">
      <w:pPr>
        <w:spacing w:after="122"/>
        <w:ind w:left="-5"/>
      </w:pPr>
      <w:r>
        <w:t>Many importers in Rwanda earn revenue in Rwandan francs but pay international suppliers in foreign currencies. When the Rwandan franc weakens before a supplier payment date, the same invoice becomes more expensive in RWF. FXGuard AI addresses this problem by converting historical exchange-rate behaviour into an interpretable risk classification.</w:t>
      </w:r>
      <w:r/>
      <w:r/>
    </w:p>
    <w:p w:rsidR="0053633E" w:rsidRDefault="00BD38B1">
      <w:pPr>
        <w:ind w:left="-5"/>
      </w:pPr>
      <w:r>
        <w:t>FXGuard AI is a web-based decision-support prototype for Rwanda-based importers. It uses official USD/RWF, EUR/RWF, and KES/RWF exchange-rate history, engineered time-series features, and separate classifiers to estimate Low, Medium, or High depreciation risk over a 7-day or 14-day horizon.</w:t>
      </w:r>
      <w:r/>
    </w:p>
    <w:tbl>
      <w:tblPr>
        <w:tblStyle w:val="TableGrid"/>
        <w:tblW w:w="9360" w:type="dxa"/>
        <w:tblInd w:w="8" w:type="dxa"/>
        <w:tblCellMar>
          <w:top w:w="11" w:type="dxa"/>
          <w:left w:w="110" w:type="dxa"/>
          <w:bottom w:w="0" w:type="dxa"/>
          <w:right w:w="87" w:type="dxa"/>
        </w:tblCellMar>
        <w:tblLook w:val="04A0" w:firstRow="1" w:lastRow="0" w:firstColumn="1" w:lastColumn="0" w:noHBand="0" w:noVBand="1"/>
      </w:tblPr>
      <w:tblGrid>
        <w:gridCol w:w="4682"/>
        <w:gridCol w:w="4678"/>
      </w:tblGrid>
      <w:tr w:rsidR="0053633E">
        <w:trPr>
          <w:trHeight w:val="259"/>
        </w:trPr>
        <w:tc>
          <w:tcPr>
            <w:tcW w:w="4683"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Detail</w:t>
            </w:r>
            <w:r/>
          </w:p>
        </w:tc>
        <w:tc>
          <w:tcPr>
            <w:tcW w:w="4678"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Description</w:t>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Problem</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Short-term USD/RWF, EUR/RWF, and KES/RWF movements can increase import costs, reduce margins, and create payment-planning uncertainty.</w:t>
            </w:r>
            <w:r>
              <w:rPr>
                <w:sz w:val="18"/>
              </w:rPr>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Goal</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Classify short-term RWF depreciation risk as Low, Medium, or High for each supported supplier-payment currency.</w:t>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Users</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Rwanda-based importers, small business owners, accountants, and finance professionals.</w:t>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Current scope</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USD, EUR, and KES against RWF; official BNR history; 7-day and 14-day horizons; FastAPI backend; web frontend.</w:t>
            </w:r>
            <w:r>
              <w:rPr>
                <w:sz w:val="18"/>
              </w:rPr>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Output</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Risk class, probability distribution, model-confidence score, current RWF cost, possible extra cost, key drivers, and recommendations.</w:t>
            </w:r>
            <w:r/>
          </w:p>
        </w:tc>
      </w:tr>
    </w:tbl>
    <w:p w:rsidR="0053633E" w:rsidRDefault="00BD38B1">
      <w:pPr>
        <w:spacing w:after="0" w:line="259" w:lineRule="auto"/>
        <w:ind w:left="2325" w:firstLine="0"/>
      </w:pPr>
      <w:r>
        <w:t xml:space="preserve"> </w:t>
      </w:r>
    </w:p>
    <w:p w:rsidR="0053633E" w:rsidRDefault="00BD38B1">
      <w:pPr>
        <w:pStyle w:val="Heading1"/>
        <w:ind w:left="351" w:hanging="366"/>
      </w:pPr>
      <w:r>
        <w:t xml:space="preserve">Data Used </w:t>
      </w:r>
    </w:p>
    <w:p w:rsidR="0053633E" w:rsidRDefault="00BD38B1">
      <w:pPr>
        <w:ind w:left="-5"/>
      </w:pPr>
      <w:r>
        <w:t>The current multicurrency dataset was prepared from official National Bank of Rwanda exchange-rate exports for USD, EUR, and KES. Each currency has a continuous daily calendar, engineered features, future risk labels, and separate 7-day and 14-day model-ready datasets.</w:t>
      </w:r>
      <w:r/>
    </w:p>
    <w:tbl>
      <w:tblPr>
        <w:tblStyle w:val="TableGrid"/>
        <w:tblW w:w="9360" w:type="dxa"/>
        <w:tblInd w:w="8" w:type="dxa"/>
        <w:tblCellMar>
          <w:top w:w="6" w:type="dxa"/>
          <w:left w:w="110" w:type="dxa"/>
          <w:bottom w:w="0" w:type="dxa"/>
          <w:right w:w="115" w:type="dxa"/>
        </w:tblCellMar>
        <w:tblLook w:val="04A0" w:firstRow="1" w:lastRow="0" w:firstColumn="1" w:lastColumn="0" w:noHBand="0" w:noVBand="1"/>
      </w:tblPr>
      <w:tblGrid>
        <w:gridCol w:w="4682"/>
        <w:gridCol w:w="4678"/>
      </w:tblGrid>
      <w:tr w:rsidR="0053633E">
        <w:trPr>
          <w:trHeight w:val="260"/>
        </w:trPr>
        <w:tc>
          <w:tcPr>
            <w:tcW w:w="4683"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Item</w:t>
            </w:r>
            <w:r/>
          </w:p>
        </w:tc>
        <w:tc>
          <w:tcPr>
            <w:tcW w:w="4678"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Description</w:t>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Source</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Official National Bank of Rwanda Excel exchange-rate exports.</w:t>
            </w:r>
            <w:r>
              <w:rPr>
                <w:sz w:val="18"/>
              </w:rPr>
            </w:r>
            <w:r/>
          </w:p>
        </w:tc>
      </w:tr>
      <w:tr w:rsidR="0053633E">
        <w:trPr>
          <w:trHeight w:val="240"/>
        </w:trPr>
        <w:tc>
          <w:tcPr>
            <w:tcW w:w="468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Currency pairs</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USD/RWF, EUR/RWF, and KES/RWF.</w:t>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Period</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Official observations from 4 January 2022 to 17 July 2026; model-ready dates vary slightly by forecast horizon.</w:t>
            </w:r>
            <w:r/>
          </w:p>
        </w:tc>
      </w:tr>
      <w:tr w:rsidR="0053633E">
        <w:trPr>
          <w:trHeight w:val="260"/>
        </w:trPr>
        <w:tc>
          <w:tcPr>
            <w:tcW w:w="468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Raw fields</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date, currency, buying_rate, average_rate, selling_rate, source, and rate type.</w:t>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Prepared fields</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Daily calendar, mid-rate, engineered features, and currency-specific 7-day and 14-day labels.</w:t>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Daily calendar approach</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Missing non-posting days were forward-filled within each currency's own history; no values were created before its first official observation.</w:t>
            </w:r>
            <w:r/>
          </w:p>
        </w:tc>
      </w:tr>
    </w:tbl>
    <w:p w:rsidR="0053633E" w:rsidRDefault="00BD38B1">
      <w:pPr>
        <w:pStyle w:val="Heading1"/>
        <w:ind w:left="349" w:hanging="364"/>
      </w:pPr>
      <w:r>
        <w:t xml:space="preserve">Classes and Risk Labels </w:t>
      </w:r>
    </w:p>
    <w:p w:rsidR="0053633E" w:rsidRDefault="00BD38B1">
      <w:pPr>
        <w:ind w:left="-5"/>
      </w:pPr>
      <w:r>
        <w:t>FXGuard AI is treated</w:t>
      </w:r>
      <w:r>
        <w:t xml:space="preserve"> as a multi-class classification problem. The model predicts one of three risk classes for each selected horizon. </w:t>
      </w:r>
    </w:p>
    <w:tbl>
      <w:tblPr>
        <w:tblStyle w:val="TableGrid"/>
        <w:tblW w:w="9360" w:type="dxa"/>
        <w:tblInd w:w="8" w:type="dxa"/>
        <w:tblCellMar>
          <w:top w:w="6" w:type="dxa"/>
          <w:left w:w="110" w:type="dxa"/>
          <w:bottom w:w="0" w:type="dxa"/>
          <w:right w:w="115" w:type="dxa"/>
        </w:tblCellMar>
        <w:tblLook w:val="04A0" w:firstRow="1" w:lastRow="0" w:firstColumn="1" w:lastColumn="0" w:noHBand="0" w:noVBand="1"/>
      </w:tblPr>
      <w:tblGrid>
        <w:gridCol w:w="4683"/>
        <w:gridCol w:w="4678"/>
      </w:tblGrid>
      <w:tr w:rsidR="0053633E">
        <w:trPr>
          <w:trHeight w:val="258"/>
        </w:trPr>
        <w:tc>
          <w:tcPr>
            <w:tcW w:w="4683"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Item</w:t>
            </w:r>
            <w:r>
              <w:t xml:space="preserve"> </w:t>
            </w:r>
          </w:p>
        </w:tc>
        <w:tc>
          <w:tcPr>
            <w:tcW w:w="4678"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Description</w:t>
            </w:r>
            <w:r>
              <w:t xml:space="preserve"> </w:t>
            </w:r>
          </w:p>
        </w:tc>
      </w:tr>
      <w:tr w:rsidR="0053633E">
        <w:trPr>
          <w:trHeight w:val="482"/>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Low risk</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The short-term outlook suggests limited cost pressure.</w:t>
            </w:r>
            <w:r>
              <w:t xml:space="preserve"> </w:t>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Medium risk</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 xml:space="preserve">The user should monitor the rate and </w:t>
            </w:r>
            <w:r>
              <w:rPr>
                <w:sz w:val="18"/>
              </w:rPr>
              <w:t>prepare a payment or pricing buffer.</w:t>
            </w:r>
            <w:r>
              <w:t xml:space="preserve"> </w:t>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High risk</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The payment may be more exposed; the user should consider earlier payment, splitting the payment, or reviewing prices.</w:t>
            </w:r>
            <w:r>
              <w:t xml:space="preserve"> </w:t>
            </w:r>
          </w:p>
        </w:tc>
      </w:tr>
    </w:tbl>
    <w:p w:rsidR="0053633E" w:rsidRDefault="00BD38B1">
      <w:pPr>
        <w:spacing w:after="419"/>
        <w:ind w:left="-5"/>
      </w:pPr>
      <w:r>
        <w:t>Labels are created by looking ahead within each currency's historical series. A 7-day label compares the current mid-rate with the rate seven days later; a 14-day label uses fourteen days later. The resulting RWF depreciation is converted into Low, Medium, or High risk using currency-specific thresholds.</w:t>
      </w:r>
      <w:r/>
    </w:p>
    <w:p w:rsidR="0053633E" w:rsidRDefault="00BD38B1">
      <w:pPr>
        <w:pStyle w:val="Heading1"/>
        <w:ind w:left="386" w:hanging="401"/>
      </w:pPr>
      <w:r>
        <w:t xml:space="preserve">Feature </w:t>
      </w:r>
      <w:r>
        <w:t xml:space="preserve">Engineering </w:t>
      </w:r>
    </w:p>
    <w:p w:rsidR="0053633E" w:rsidRDefault="00BD38B1">
      <w:pPr>
        <w:spacing w:after="122"/>
        <w:ind w:left="-5"/>
      </w:pPr>
      <w:r>
        <w:t>The raw exchange-rate data was transformed into model-ready features. The core assumption is that exchange-rate risk is not only explained by today's rate; it is also shaped by recent movement, volatility, momentum, spread, and repeated deprec</w:t>
      </w:r>
      <w:r>
        <w:t xml:space="preserve">iation pressure. </w:t>
      </w:r>
    </w:p>
    <w:p w:rsidR="0053633E" w:rsidRDefault="00BD38B1">
      <w:pPr>
        <w:spacing w:after="125" w:line="259" w:lineRule="auto"/>
        <w:ind w:left="0" w:firstLine="0"/>
      </w:pPr>
      <w:r>
        <w:t xml:space="preserve"> </w:t>
      </w:r>
    </w:p>
    <w:p w:rsidR="0053633E" w:rsidRDefault="00BD38B1">
      <w:pPr>
        <w:spacing w:after="0" w:line="259" w:lineRule="auto"/>
        <w:ind w:left="0" w:firstLine="0"/>
      </w:pPr>
      <w:r>
        <w:t xml:space="preserve"> </w:t>
      </w:r>
    </w:p>
    <w:tbl>
      <w:tblPr>
        <w:tblStyle w:val="TableGrid"/>
        <w:tblW w:w="9360" w:type="dxa"/>
        <w:tblInd w:w="8" w:type="dxa"/>
        <w:tblCellMar>
          <w:top w:w="5" w:type="dxa"/>
          <w:left w:w="110" w:type="dxa"/>
          <w:bottom w:w="0" w:type="dxa"/>
          <w:right w:w="115" w:type="dxa"/>
        </w:tblCellMar>
        <w:tblLook w:val="04A0" w:firstRow="1" w:lastRow="0" w:firstColumn="1" w:lastColumn="0" w:noHBand="0" w:noVBand="1"/>
      </w:tblPr>
      <w:tblGrid>
        <w:gridCol w:w="3123"/>
        <w:gridCol w:w="3120"/>
        <w:gridCol w:w="3118"/>
      </w:tblGrid>
      <w:tr w:rsidR="0053633E">
        <w:trPr>
          <w:trHeight w:val="243"/>
        </w:trPr>
        <w:tc>
          <w:tcPr>
            <w:tcW w:w="3123"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Feature</w:t>
            </w:r>
            <w:r>
              <w:t xml:space="preserve"> </w:t>
            </w:r>
          </w:p>
        </w:tc>
        <w:tc>
          <w:tcPr>
            <w:tcW w:w="3120"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Engineering logic</w:t>
            </w:r>
            <w:r>
              <w:t xml:space="preserve"> </w:t>
            </w:r>
          </w:p>
        </w:tc>
        <w:tc>
          <w:tcPr>
            <w:tcW w:w="3118"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Purpose</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mid_rate</w:t>
            </w:r>
            <w:r>
              <w:t xml:space="preserve"> </w:t>
            </w:r>
          </w:p>
        </w:tc>
        <w:tc>
          <w:tcPr>
            <w:tcW w:w="312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(buying_rate + selling_rate) / 2</w:t>
            </w:r>
            <w:r>
              <w:t xml:space="preserve"> </w:t>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Main exchange-rate value used for modeling.</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daily_return</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Day-to-day percentage change in mid_rate</w:t>
            </w:r>
            <w:r>
              <w:t xml:space="preserve"> </w:t>
            </w:r>
          </w:p>
        </w:tc>
        <w:tc>
          <w:tcPr>
            <w:tcW w:w="3118"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Shows the latest movement.</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return_7d, return_14d</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Percentage change over 7 and 14 days</w:t>
            </w:r>
            <w:r>
              <w:t xml:space="preserve"> </w:t>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Captures short-term depreciation trend.</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ma_7, ma_14, ma_30</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Moving averages over 7, 14, and 30 days</w:t>
            </w:r>
            <w:r>
              <w:t xml:space="preserve"> </w:t>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right="4" w:firstLine="0"/>
            </w:pPr>
            <w:r>
              <w:rPr>
                <w:sz w:val="18"/>
              </w:rPr>
              <w:t>Smooths noise and shows trend direction.</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ma_gap</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Difference between short-term and longer-term averages</w:t>
            </w:r>
            <w:r>
              <w:t xml:space="preserve"> </w:t>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 xml:space="preserve">Shows </w:t>
            </w:r>
            <w:r>
              <w:rPr>
                <w:sz w:val="18"/>
              </w:rPr>
              <w:t>whether recent rates are above longer trend.</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volatility_7d, volatility_14d, volatility_30d</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Rolling standard deviation of returns</w:t>
            </w:r>
            <w:r>
              <w:t xml:space="preserve"> </w:t>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Measures instability and uncertainty.</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momentum_7d, momentum_14d</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Recent movement direction over one or two weeks</w:t>
            </w:r>
            <w:r>
              <w:t xml:space="preserve"> </w:t>
            </w:r>
          </w:p>
        </w:tc>
        <w:tc>
          <w:tcPr>
            <w:tcW w:w="3118"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Captures pressure direction.</w:t>
            </w:r>
            <w:r>
              <w:t xml:space="preserve"> </w:t>
            </w:r>
          </w:p>
        </w:tc>
      </w:tr>
      <w:tr w:rsidR="0053633E">
        <w:trPr>
          <w:trHeight w:val="480"/>
        </w:trPr>
        <w:tc>
          <w:tcPr>
            <w:tcW w:w="31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spread, spread_pct</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selling_rate - buying_rate and relative spread</w:t>
            </w:r>
            <w:r>
              <w:t xml:space="preserve"> </w:t>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Captures transaction cost and market pressure.</w:t>
            </w:r>
            <w:r>
              <w:t xml:space="preserve"> </w:t>
            </w:r>
          </w:p>
        </w:tc>
      </w:tr>
      <w:tr w:rsidR="0053633E">
        <w:trPr>
          <w:trHeight w:val="500"/>
        </w:trPr>
        <w:tc>
          <w:tcPr>
            <w:tcW w:w="312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depreciation_days_7d, depreciation_days_14d</w:t>
            </w:r>
            <w:r>
              <w:t xml:space="preserve"> </w:t>
            </w:r>
          </w:p>
        </w:tc>
        <w:tc>
          <w:tcPr>
            <w:tcW w:w="31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Number of recent days when the selected foreign-currency/RWF rate increased</w:t>
            </w:r>
            <w:r/>
          </w:p>
        </w:tc>
        <w:tc>
          <w:tcPr>
            <w:tcW w:w="311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Shows how persistent recent RWF weakening pressure has been for the selected currency.</w:t>
            </w:r>
            <w:r>
              <w:rPr>
                <w:sz w:val="18"/>
              </w:rPr>
            </w:r>
            <w:r/>
          </w:p>
        </w:tc>
      </w:tr>
    </w:tbl>
    <w:p w:rsidR="0053633E" w:rsidRDefault="00BD38B1">
      <w:pPr>
        <w:pStyle w:val="Heading1"/>
        <w:ind w:left="350" w:hanging="365"/>
      </w:pPr>
      <w:r>
        <w:t xml:space="preserve">Functions and System Components </w:t>
      </w:r>
    </w:p>
    <w:p w:rsidR="0053633E" w:rsidRDefault="00BD38B1">
      <w:pPr>
        <w:ind w:left="-5"/>
      </w:pPr>
      <w:r>
        <w:t xml:space="preserve">The application is separated into a simple frontend and a FastAPI backend. The backend owns the data loading, model loading, prediction, and response formatting logic. </w:t>
      </w:r>
    </w:p>
    <w:tbl>
      <w:tblPr>
        <w:tblStyle w:val="TableGrid"/>
        <w:tblW w:w="9360" w:type="dxa"/>
        <w:tblInd w:w="8" w:type="dxa"/>
        <w:tblCellMar>
          <w:top w:w="9" w:type="dxa"/>
          <w:left w:w="110" w:type="dxa"/>
          <w:bottom w:w="0" w:type="dxa"/>
          <w:right w:w="115" w:type="dxa"/>
        </w:tblCellMar>
        <w:tblLook w:val="04A0" w:firstRow="1" w:lastRow="0" w:firstColumn="1" w:lastColumn="0" w:noHBand="0" w:noVBand="1"/>
      </w:tblPr>
      <w:tblGrid>
        <w:gridCol w:w="4683"/>
        <w:gridCol w:w="4678"/>
      </w:tblGrid>
      <w:tr w:rsidR="0053633E">
        <w:trPr>
          <w:trHeight w:val="258"/>
        </w:trPr>
        <w:tc>
          <w:tcPr>
            <w:tcW w:w="4683"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Function / endpoint</w:t>
            </w:r>
            <w:r>
              <w:rPr>
                <w:b/>
                <w:sz w:val="18"/>
              </w:rPr>
            </w:r>
            <w:r/>
          </w:p>
        </w:tc>
        <w:tc>
          <w:tcPr>
            <w:tcW w:w="4678"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Role in the prototype</w:t>
            </w:r>
            <w:r/>
          </w:p>
        </w:tc>
      </w:tr>
      <w:tr w:rsidR="0053633E">
        <w:trPr>
          <w:trHeight w:val="483"/>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load_daily_calendar()</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Loads the prepared daily exchange-rate series for the selected currency.</w:t>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load_features()</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Loads the engineered multicurrency model-ready feature dataset.</w:t>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model_predict()</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Loads the currency- and horizon-specific model and returns a risk class and probabilities.</w:t>
            </w:r>
            <w:r>
              <w:rPr>
                <w:sz w:val="18"/>
              </w:rPr>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/api/latest-rate</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Returns the latest official exchange rate for USD, EUR, or KES against RWF.</w:t>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/api/data-freshness</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Reports the latest imported official date and data age for a selected currency.</w:t>
            </w:r>
            <w:r/>
          </w:p>
        </w:tc>
      </w:tr>
      <w:tr w:rsidR="0053633E">
        <w:trPr>
          <w:trHeight w:val="74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/api/predict-risk</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Receives currency, amount, and horizon and returns risk, likelihood scores, cost estimates, drivers, and recommendations.</w:t>
            </w:r>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/api/feedback</w:t>
            </w:r>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Provides the local participant-feedback backup endpoint.</w:t>
            </w:r>
            <w:r/>
          </w:p>
        </w:tc>
      </w:tr>
    </w:tbl>
    <w:p w:rsidR="0053633E" w:rsidRDefault="00BD38B1">
      <w:pPr>
        <w:spacing w:after="327" w:line="259" w:lineRule="auto"/>
        <w:ind w:left="0" w:firstLine="0"/>
      </w:pPr>
      <w:r>
        <w:rPr>
          <w:b/>
          <w:color w:val="2E74B5"/>
          <w:sz w:val="32"/>
        </w:rPr>
        <w:t xml:space="preserve"> </w:t>
      </w:r>
    </w:p>
    <w:p w:rsidR="0053633E" w:rsidRDefault="00BD38B1">
      <w:pPr>
        <w:pStyle w:val="Heading1"/>
        <w:ind w:left="366" w:hanging="381"/>
      </w:pPr>
      <w:r>
        <w:t xml:space="preserve">Models Trained and Compared </w:t>
      </w:r>
    </w:p>
    <w:p w:rsidR="0053633E" w:rsidRDefault="00BD38B1">
      <w:pPr>
        <w:ind w:left="-5"/>
      </w:pPr>
      <w:r>
        <w:t>Logistic Regression, Random Forest, and XGBoost were compared independently for USD, EUR, and KES over both 7-day and 14-day horizons. Model selection was based on time-aware historical backtesting rather than the final holdout.</w:t>
      </w:r>
      <w:r/>
    </w:p>
    <w:p w:rsidR="0053633E" w:rsidRDefault="00BD38B1">
      <w:pPr>
        <w:spacing w:after="136"/>
        <w:ind w:left="-5"/>
      </w:pPr>
      <w:r>
        <w:t>Accuracy reports the overall share classified correctly. Balanced Accuracy gives equal importance to Low, Medium, and High risk, while Macro F1 combines precision and recall with equal weight for each class. Balanced Accuracy was the primary model-selection measure because risk classes were not evenly distributed in every historical period.</w:t>
      </w:r>
      <w:r/>
      <w:r/>
    </w:p>
    <w:p w:rsidR="0053633E" w:rsidRDefault="00BD38B1">
      <w:pPr>
        <w:pStyle w:val="Heading2"/>
      </w:pPr>
      <w:r>
        <w:t>Multicurrency Backtesting Method</w:t>
      </w:r>
      <w:r>
        <w:rPr>
          <w:b w:val="0"/>
          <w:color w:val="000000"/>
          <w:sz w:val="22"/>
        </w:rPr>
      </w:r>
    </w:p>
    <w:p w:rsidR="0053633E" w:rsidRDefault="00BD38B1">
      <w:pPr>
        <w:pBdr>
          <w:top w:val="single" w:sz="8" w:space="0" w:color="DADCE0"/>
          <w:left w:val="single" w:sz="8" w:space="0" w:color="DADCE0"/>
          <w:bottom w:val="single" w:sz="8" w:space="0" w:color="DADCE0"/>
          <w:right w:val="single" w:sz="8" w:space="0" w:color="DADCE0"/>
        </w:pBdr>
        <w:shd w:val="clear" w:color="auto" w:fill="F4F6F9"/>
        <w:spacing w:after="94"/>
        <w:ind w:left="120" w:firstLine="0"/>
      </w:pPr>
      <w:r>
        <w:rPr>
          <w:sz w:val="20"/>
        </w:rPr>
        <w:t>Three expanding-window rolling-origin folds were used for every currency and horizon. In each fold, the model learned from an earlier period and was tested on the following 10% of observations. All folds stayed within the first 80% of the timeline, while the final 20% remained excluded from model selection. A 7-row or 14-row purge gap separated training and testing so labels derived from future rates could not cross the boundary. After selection and holdout evaluation, the winning production model was refitted on all labeled history.</w:t>
      </w:r>
      <w:r>
        <w:rPr>
          <w:sz w:val="20"/>
        </w:rPr>
      </w:r>
      <w:r/>
    </w:p>
    <w:tbl>
      <w:tblPr>
        <w:tblStyle w:val="TableGrid"/>
        <w:tblW w:w="9343" w:type="dxa"/>
        <w:tblInd w:w="8" w:type="dxa"/>
        <w:tblCellMar>
          <w:top w:w="9" w:type="dxa"/>
          <w:left w:w="110" w:type="dxa"/>
          <w:bottom w:w="0" w:type="dxa"/>
          <w:right w:w="115" w:type="dxa"/>
        </w:tblCellMar>
        <w:tblLook w:val="04A0" w:firstRow="1" w:lastRow="0" w:firstColumn="1" w:lastColumn="0" w:noHBand="0" w:noVBand="1"/>
      </w:tblPr>
      <w:tblGrid>
        <w:gridCol w:w="1323"/>
        <w:gridCol w:w="1340"/>
        <w:gridCol w:w="1340"/>
        <w:gridCol w:w="1340"/>
        <w:gridCol w:w="1320"/>
        <w:gridCol w:w="1340"/>
        <w:gridCol w:w="1340"/>
      </w:tblGrid>
      <w:tr w:rsidR="0053633E">
        <w:trPr>
          <w:trHeight w:val="498"/>
        </w:trPr>
        <w:tc>
          <w:tcPr>
            <w:tcW w:w="1323" w:type="dxa"/>
            <w:tcBorders>
              <w:top w:val="single" w:sz="8" w:space="0" w:color="DADCE0"/>
              <w:left w:val="single" w:sz="8" w:space="0" w:color="DADCE0"/>
              <w:bottom w:val="single" w:sz="8" w:space="0" w:color="DADCE0"/>
              <w:right w:val="single" w:sz="8" w:space="0" w:color="DADCE0"/>
            </w:tcBorders>
            <w:shd w:val="clear" w:color="auto" w:fill="F2F4F7"/>
            <w:vAlign w:val="center"/>
          </w:tcPr>
          <w:p w:rsidR="0053633E" w:rsidRDefault="00BD38B1">
            <w:pPr>
              <w:spacing w:after="0" w:line="259" w:lineRule="auto"/>
              <w:ind w:left="3" w:firstLine="0"/>
            </w:pPr>
            <w:r>
              <w:rPr>
                <w:b/>
                <w:sz w:val="18"/>
              </w:rPr>
              <w:t>Currency</w:t>
            </w:r>
            <w:r/>
          </w:p>
        </w:tc>
        <w:tc>
          <w:tcPr>
            <w:tcW w:w="1340" w:type="dxa"/>
            <w:tcBorders>
              <w:top w:val="single" w:sz="8" w:space="0" w:color="DADCE0"/>
              <w:left w:val="single" w:sz="8" w:space="0" w:color="DADCE0"/>
              <w:bottom w:val="single" w:sz="8" w:space="0" w:color="DADCE0"/>
              <w:right w:val="single" w:sz="8" w:space="0" w:color="DADCE0"/>
            </w:tcBorders>
            <w:shd w:val="clear" w:color="auto" w:fill="F2F4F7"/>
            <w:vAlign w:val="center"/>
          </w:tcPr>
          <w:p w:rsidR="0053633E" w:rsidRDefault="00BD38B1">
            <w:pPr>
              <w:spacing w:after="0" w:line="259" w:lineRule="auto"/>
              <w:ind w:left="15" w:firstLine="0"/>
            </w:pPr>
            <w:r>
              <w:rPr>
                <w:b/>
                <w:sz w:val="18"/>
              </w:rPr>
              <w:t>Horizon</w:t>
            </w:r>
            <w:r/>
          </w:p>
        </w:tc>
        <w:tc>
          <w:tcPr>
            <w:tcW w:w="1340" w:type="dxa"/>
            <w:tcBorders>
              <w:top w:val="single" w:sz="8" w:space="0" w:color="DADCE0"/>
              <w:left w:val="single" w:sz="8" w:space="0" w:color="DADCE0"/>
              <w:bottom w:val="single" w:sz="8" w:space="0" w:color="DADCE0"/>
              <w:right w:val="single" w:sz="8" w:space="0" w:color="DADCE0"/>
            </w:tcBorders>
            <w:shd w:val="clear" w:color="auto" w:fill="F2F4F7"/>
            <w:vAlign w:val="center"/>
          </w:tcPr>
          <w:p w:rsidR="0053633E" w:rsidRDefault="00BD38B1">
            <w:pPr>
              <w:spacing w:after="0" w:line="259" w:lineRule="auto"/>
              <w:ind w:firstLine="0"/>
            </w:pPr>
            <w:r>
              <w:rPr>
                <w:b/>
                <w:sz w:val="18"/>
              </w:rPr>
              <w:t>Selected model</w:t>
            </w:r>
            <w:r/>
          </w:p>
        </w:tc>
        <w:tc>
          <w:tcPr>
            <w:tcW w:w="1340"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5" w:firstLine="0"/>
            </w:pPr>
            <w:r>
              <w:rPr>
                <w:b/>
                <w:sz w:val="18"/>
              </w:rPr>
              <w:t>Backtest accuracy</w:t>
            </w:r>
            <w:r/>
          </w:p>
        </w:tc>
        <w:tc>
          <w:tcPr>
            <w:tcW w:w="1320" w:type="dxa"/>
            <w:tcBorders>
              <w:top w:val="single" w:sz="8" w:space="0" w:color="DADCE0"/>
              <w:left w:val="single" w:sz="8" w:space="0" w:color="DADCE0"/>
              <w:bottom w:val="single" w:sz="8" w:space="0" w:color="DADCE0"/>
              <w:right w:val="single" w:sz="8" w:space="0" w:color="DADCE0"/>
            </w:tcBorders>
            <w:shd w:val="clear" w:color="auto" w:fill="F2F4F7"/>
            <w:vAlign w:val="center"/>
          </w:tcPr>
          <w:p w:rsidR="0053633E" w:rsidRDefault="00BD38B1">
            <w:pPr>
              <w:spacing w:after="0" w:line="259" w:lineRule="auto"/>
              <w:ind w:left="0" w:firstLine="0"/>
            </w:pPr>
            <w:r>
              <w:rPr>
                <w:b/>
                <w:sz w:val="18"/>
              </w:rPr>
              <w:t>Balanced accuracy</w:t>
            </w:r>
            <w:r/>
          </w:p>
        </w:tc>
        <w:tc>
          <w:tcPr>
            <w:tcW w:w="1340" w:type="dxa"/>
            <w:tcBorders>
              <w:top w:val="single" w:sz="8" w:space="0" w:color="DADCE0"/>
              <w:left w:val="single" w:sz="8" w:space="0" w:color="DADCE0"/>
              <w:bottom w:val="single" w:sz="8" w:space="0" w:color="DADCE0"/>
              <w:right w:val="single" w:sz="8" w:space="0" w:color="DADCE0"/>
            </w:tcBorders>
            <w:shd w:val="clear" w:color="auto" w:fill="F2F4F7"/>
            <w:vAlign w:val="center"/>
          </w:tcPr>
          <w:p w:rsidR="0053633E" w:rsidRDefault="00BD38B1">
            <w:pPr>
              <w:spacing w:after="0" w:line="259" w:lineRule="auto"/>
              <w:ind w:left="15" w:firstLine="0"/>
            </w:pPr>
            <w:r>
              <w:rPr>
                <w:b/>
                <w:sz w:val="18"/>
              </w:rPr>
              <w:t>Macro F1</w:t>
            </w:r>
            <w:r/>
          </w:p>
        </w:tc>
        <w:tc>
          <w:tcPr>
            <w:tcW w:w="1340" w:type="dxa"/>
            <w:tcBorders>
              <w:top w:val="single" w:sz="8" w:space="0" w:color="DADCE0"/>
              <w:left w:val="single" w:sz="8" w:space="0" w:color="DADCE0"/>
              <w:bottom w:val="single" w:sz="8" w:space="0" w:color="DADCE0"/>
              <w:right w:val="single" w:sz="8" w:space="0" w:color="DADCE0"/>
            </w:tcBorders>
            <w:shd w:val="clear" w:color="auto" w:fill="F2F4F7"/>
            <w:vAlign w:val="center"/>
          </w:tcPr>
          <w:p w:rsidR="0053633E" w:rsidRDefault="00BD38B1">
            <w:pPr>
              <w:spacing w:after="0" w:line="259" w:lineRule="auto"/>
              <w:ind w:firstLine="0"/>
            </w:pPr>
            <w:r>
              <w:rPr>
                <w:b/>
                <w:sz w:val="18"/>
              </w:rPr>
              <w:t>Holdout accuracy</w:t>
            </w:r>
            <w:r/>
          </w:p>
        </w:tc>
      </w:tr>
      <w:tr w:rsidR="0053633E">
        <w:trPr>
          <w:trHeight w:val="483"/>
        </w:trPr>
        <w:tc>
          <w:tcPr>
            <w:tcW w:w="13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USD/RWF</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41" w:line="259" w:lineRule="auto"/>
              <w:ind w:left="15" w:firstLine="0"/>
            </w:pPr>
            <w:r>
              <w:rPr>
                <w:sz w:val="18"/>
              </w:rPr>
              <w:t>7-day</w:t>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Logistic Regression</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5" w:firstLine="0"/>
            </w:pPr>
            <w:r>
              <w:rPr>
                <w:sz w:val="18"/>
              </w:rPr>
              <w:t>0.5473</w:t>
            </w:r>
            <w:r/>
          </w:p>
        </w:tc>
        <w:tc>
          <w:tcPr>
            <w:tcW w:w="132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0.5173</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15" w:firstLine="0"/>
            </w:pPr>
            <w:r>
              <w:rPr>
                <w:sz w:val="18"/>
              </w:rPr>
              <w:t>0.4474</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1.0000*</w:t>
            </w:r>
            <w:r/>
          </w:p>
        </w:tc>
      </w:tr>
      <w:tr w:rsidR="0053633E">
        <w:trPr>
          <w:trHeight w:val="500"/>
        </w:trPr>
        <w:tc>
          <w:tcPr>
            <w:tcW w:w="13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USD/RWF</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15" w:firstLine="0"/>
            </w:pPr>
            <w:r>
              <w:rPr>
                <w:sz w:val="18"/>
              </w:rPr>
              <w:t>14-day</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Logistic Regression</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5" w:firstLine="0"/>
            </w:pPr>
            <w:r>
              <w:rPr>
                <w:sz w:val="18"/>
              </w:rPr>
              <w:t>0.5963</w:t>
            </w:r>
            <w:r/>
          </w:p>
        </w:tc>
        <w:tc>
          <w:tcPr>
            <w:tcW w:w="132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0.4420</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15" w:firstLine="0"/>
            </w:pPr>
            <w:r>
              <w:rPr>
                <w:sz w:val="18"/>
              </w:rPr>
              <w:t>0.4044</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1.0000*</w:t>
            </w:r>
            <w:r/>
          </w:p>
        </w:tc>
      </w:tr>
      <w:tr w:rsidR="0053633E">
        <w:trPr>
          <w:trHeight w:val="260"/>
        </w:trPr>
        <w:tc>
          <w:tcPr>
            <w:tcW w:w="132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EUR/RWF</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15" w:firstLine="0"/>
            </w:pPr>
            <w:r>
              <w:rPr>
                <w:sz w:val="18"/>
              </w:rPr>
              <w:t>7-day</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firstLine="0"/>
            </w:pPr>
            <w:r>
              <w:rPr>
                <w:sz w:val="18"/>
              </w:rPr>
              <w:t>Random Forest</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5" w:firstLine="0"/>
            </w:pPr>
            <w:r>
              <w:rPr>
                <w:sz w:val="18"/>
              </w:rPr>
              <w:t>0.4136</w:t>
            </w:r>
            <w:r/>
          </w:p>
        </w:tc>
        <w:tc>
          <w:tcPr>
            <w:tcW w:w="13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0.3462</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15" w:firstLine="0"/>
            </w:pPr>
            <w:r>
              <w:rPr>
                <w:sz w:val="18"/>
              </w:rPr>
              <w:t>0.2667</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firstLine="0"/>
            </w:pPr>
            <w:r>
              <w:rPr>
                <w:sz w:val="18"/>
              </w:rPr>
              <w:t>0.4691</w:t>
            </w:r>
            <w:r/>
          </w:p>
        </w:tc>
      </w:tr>
      <w:tr w:rsidR="0053633E">
        <w:trPr>
          <w:trHeight w:val="500"/>
        </w:trPr>
        <w:tc>
          <w:tcPr>
            <w:tcW w:w="13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EUR/RWF</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41" w:line="259" w:lineRule="auto"/>
              <w:ind w:left="15" w:firstLine="0"/>
            </w:pPr>
            <w:r>
              <w:rPr>
                <w:sz w:val="18"/>
              </w:rPr>
              <w:t>14-day</w:t>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Logistic Regression</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5" w:firstLine="0"/>
            </w:pPr>
            <w:r>
              <w:rPr>
                <w:sz w:val="18"/>
              </w:rPr>
              <w:t>0.3333</w:t>
            </w:r>
            <w:r/>
          </w:p>
        </w:tc>
        <w:tc>
          <w:tcPr>
            <w:tcW w:w="132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0.3323</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15" w:firstLine="0"/>
            </w:pPr>
            <w:r>
              <w:rPr>
                <w:sz w:val="18"/>
              </w:rPr>
              <w:t>0.2376</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0.6285</w:t>
            </w:r>
            <w:r/>
          </w:p>
        </w:tc>
      </w:tr>
      <w:tr w:rsidR="0053633E">
        <w:trPr>
          <w:trHeight w:val="500"/>
        </w:trPr>
        <w:tc>
          <w:tcPr>
            <w:tcW w:w="132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KES/RWF</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15" w:firstLine="0"/>
            </w:pPr>
            <w:r>
              <w:rPr>
                <w:sz w:val="18"/>
              </w:rPr>
              <w:t>7-day</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Logistic Regression</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5" w:firstLine="0"/>
            </w:pPr>
            <w:r>
              <w:rPr>
                <w:sz w:val="18"/>
              </w:rPr>
              <w:t>0.4177</w:t>
            </w:r>
            <w:r/>
          </w:p>
        </w:tc>
        <w:tc>
          <w:tcPr>
            <w:tcW w:w="132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0.3555</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15" w:firstLine="0"/>
            </w:pPr>
            <w:r>
              <w:rPr>
                <w:sz w:val="18"/>
              </w:rPr>
              <w:t>0.2283</w:t>
            </w:r>
            <w:r/>
          </w:p>
        </w:tc>
        <w:tc>
          <w:tcPr>
            <w:tcW w:w="1340"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firstLine="0"/>
            </w:pPr>
            <w:r>
              <w:rPr>
                <w:sz w:val="18"/>
              </w:rPr>
              <w:t>0.4815</w:t>
            </w:r>
            <w:r/>
          </w:p>
        </w:tc>
      </w:tr>
      <w:tr w:rsidR="0053633E">
        <w:trPr>
          <w:trHeight w:val="260"/>
        </w:trPr>
        <w:tc>
          <w:tcPr>
            <w:tcW w:w="132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KES/RWF</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15" w:firstLine="0"/>
            </w:pPr>
            <w:r>
              <w:rPr>
                <w:sz w:val="18"/>
              </w:rPr>
              <w:t>14-day</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firstLine="0"/>
            </w:pPr>
            <w:r>
              <w:rPr>
                <w:sz w:val="18"/>
              </w:rPr>
              <w:t>Logistic Regression</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5" w:firstLine="0"/>
            </w:pPr>
            <w:r>
              <w:rPr>
                <w:sz w:val="18"/>
              </w:rPr>
              <w:t>0.4493</w:t>
            </w:r>
            <w:r/>
          </w:p>
        </w:tc>
        <w:tc>
          <w:tcPr>
            <w:tcW w:w="132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0.3815</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15" w:firstLine="0"/>
            </w:pPr>
            <w:r>
              <w:rPr>
                <w:sz w:val="18"/>
              </w:rPr>
              <w:t>0.2468</w:t>
            </w:r>
            <w:r/>
          </w:p>
        </w:tc>
        <w:tc>
          <w:tcPr>
            <w:tcW w:w="1340"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firstLine="0"/>
            </w:pPr>
            <w:r>
              <w:rPr>
                <w:sz w:val="18"/>
              </w:rPr>
              <w:t>0.4396</w:t>
            </w:r>
            <w:r/>
          </w:p>
        </w:tc>
      </w:tr>
    </w:tbl>
    <w:p>
      <w:pPr/>
      <w:r>
        <w:t>*The USD final holdouts contained only Low-risk observations: 324 rows for 7 days and 323 rows for 14 days. Their 100% accuracy shows correct classification of that stable period, but it does not prove that the models distinguish all three risk classes.</w:t>
      </w:r>
    </w:p>
    <w:p>
      <w:pPr>
        <w:pStyle w:val="Heading2"/>
      </w:pPr>
      <w:r>
        <w:t>Automated Software Testing</w:t>
      </w:r>
    </w:p>
    <w:p>
      <w:pPr/>
      <w:r>
        <w:t>All 26 automated software tests passed. They covered official BNR data validation, multicurrency API responses and predictions, Excel report generation, model output labels, forward-only backtest folds, purge gaps, final-holdout isolation, frontend structure, and account security foundations. Passing these tests shows that the tested software behaves as designed; it does not replace security auditing, legal review, production monitoring, or future model validation.</w:t>
      </w:r>
    </w:p>
    <w:p>
      <w:pPr>
        <w:pStyle w:val="Heading2"/>
      </w:pPr>
      <w:r>
        <w:t>Evaluation Conclusion</w:t>
      </w:r>
    </w:p>
    <w:p>
      <w:pPr/>
      <w:r>
        <w:t>The testing provides a more realistic assessment than the earlier single USD holdout. USD/RWF showed moderate historical signal, while EUR/RWF and KES/RWF remained close to the three-class reference level. FXGuard AI should therefore be described as a functioning and transparent experimental decision-support prototype, not as a guaranteed financial forecasting tool.</w:t>
      </w:r>
    </w:p>
    <w:p w:rsidR="0053633E" w:rsidRDefault="00BD38B1">
      <w:pPr>
        <w:spacing w:after="422" w:line="259" w:lineRule="auto"/>
        <w:ind w:left="0" w:firstLine="0"/>
      </w:pPr>
      <w:r>
        <w:t xml:space="preserve"> </w:t>
      </w:r>
    </w:p>
    <w:p w:rsidR="0053633E" w:rsidRDefault="00BD38B1">
      <w:pPr>
        <w:pStyle w:val="Heading1"/>
        <w:ind w:left="342" w:hanging="357"/>
      </w:pPr>
      <w:r>
        <w:t>Model Selection Outcome</w:t>
      </w:r>
    </w:p>
    <w:p w:rsidR="0053633E" w:rsidRDefault="00BD38B1">
      <w:pPr>
        <w:spacing w:after="123"/>
        <w:ind w:left="-5"/>
      </w:pPr>
      <w:r>
        <w:t>Logistic Regression was selected for five of the six currency/horizon tasks. Random Forest was selected for EUR/RWF over 7 days. Selection used mean rolling balanced accuracy, followed by Macro F1 and accuracy; final holdout performance did not influence the choice.</w:t>
      </w:r>
      <w:r/>
      <w:r/>
    </w:p>
    <w:p w:rsidR="0053633E" w:rsidRDefault="00BD38B1">
      <w:pPr>
        <w:numPr>
          <w:ilvl w:val="0"/>
          <w:numId w:val="1"/>
        </w:numPr>
        <w:ind w:hanging="360"/>
      </w:pPr>
      <w:r>
        <w:t>USD/RWF produced the strongest historical result, with 7-day balanced accuracy of 0.5173. This indicates some useful historical signal, but not enough to treat individual predictions as certain.</w:t>
      </w:r>
    </w:p>
    <w:p w:rsidR="0053633E" w:rsidRDefault="00BD38B1">
      <w:pPr>
        <w:numPr>
          <w:ilvl w:val="0"/>
          <w:numId w:val="1"/>
        </w:numPr>
        <w:ind w:hanging="360"/>
      </w:pPr>
      <w:r>
        <w:t>EUR/RWF and KES/RWF were generally close to the one-third balanced-accuracy reference point for a three-class task, showing limited separation between Low, Medium, and High risk with the current features.</w:t>
      </w:r>
    </w:p>
    <w:p w:rsidR="0053633E" w:rsidRDefault="00BD38B1">
      <w:pPr>
        <w:numPr>
          <w:ilvl w:val="0"/>
          <w:numId w:val="1"/>
        </w:numPr>
        <w:ind w:hanging="360"/>
      </w:pPr>
      <w:r>
        <w:t>XGBoost was not selected for any task. Greater algorithm complexity therefore did not overcome the main challenge of finding stable short-term patterns in the available exchange-rate history.</w:t>
      </w:r>
    </w:p>
    <w:p w:rsidR="0053633E" w:rsidRDefault="00BD38B1">
      <w:pPr>
        <w:numPr>
          <w:ilvl w:val="0"/>
          <w:numId w:val="1"/>
        </w:numPr>
        <w:spacing w:after="419"/>
        <w:ind w:hanging="360"/>
      </w:pPr>
      <w:r>
        <w:t>The results support an experimental decision-support prototype rather than a guaranteed forecasting system. Predictions should be considered alongside the user's business context and other financial information.</w:t>
      </w:r>
      <w:r/>
    </w:p>
    <w:p w:rsidR="0053633E" w:rsidRDefault="00BD38B1">
      <w:pPr>
        <w:pStyle w:val="Heading1"/>
        <w:ind w:left="374" w:hanging="389"/>
      </w:pPr>
      <w:r>
        <w:t xml:space="preserve">Probability Prediction and Confidence Score </w:t>
      </w:r>
    </w:p>
    <w:p w:rsidR="0053633E" w:rsidRDefault="00BD38B1">
      <w:pPr>
        <w:ind w:left="-5"/>
      </w:pPr>
      <w:r>
        <w:t>The model does not only return a class label. It also returns class probabilities for Low, Medium, and High risk. The confi</w:t>
      </w:r>
      <w:r>
        <w:t xml:space="preserve">dence score is attached to the prediction by taking the probability assigned to the predicted top class. </w:t>
      </w:r>
    </w:p>
    <w:tbl>
      <w:tblPr>
        <w:tblStyle w:val="TableGrid"/>
        <w:tblW w:w="9360" w:type="dxa"/>
        <w:tblInd w:w="8" w:type="dxa"/>
        <w:tblCellMar>
          <w:top w:w="5" w:type="dxa"/>
          <w:left w:w="110" w:type="dxa"/>
          <w:bottom w:w="0" w:type="dxa"/>
          <w:right w:w="115" w:type="dxa"/>
        </w:tblCellMar>
        <w:tblLook w:val="04A0" w:firstRow="1" w:lastRow="0" w:firstColumn="1" w:lastColumn="0" w:noHBand="0" w:noVBand="1"/>
      </w:tblPr>
      <w:tblGrid>
        <w:gridCol w:w="4683"/>
        <w:gridCol w:w="4678"/>
      </w:tblGrid>
      <w:tr w:rsidR="0053633E">
        <w:trPr>
          <w:trHeight w:val="258"/>
        </w:trPr>
        <w:tc>
          <w:tcPr>
            <w:tcW w:w="4683"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Item</w:t>
            </w:r>
            <w:r>
              <w:t xml:space="preserve"> </w:t>
            </w:r>
          </w:p>
        </w:tc>
        <w:tc>
          <w:tcPr>
            <w:tcW w:w="4678" w:type="dxa"/>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Description</w:t>
            </w:r>
            <w:r>
              <w:t xml:space="preserve"> </w:t>
            </w:r>
          </w:p>
        </w:tc>
      </w:tr>
      <w:tr w:rsidR="0053633E">
        <w:trPr>
          <w:trHeight w:val="243"/>
        </w:trPr>
        <w:tc>
          <w:tcPr>
            <w:tcW w:w="4683"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Probability output</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Example: Low = 0.92, Medium = 0.06, High = 0.02.</w:t>
            </w:r>
            <w:r>
              <w:t xml:space="preserve"> </w:t>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Predicted class</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 xml:space="preserve">The class with the highest probability, </w:t>
            </w:r>
            <w:r>
              <w:rPr>
                <w:sz w:val="18"/>
              </w:rPr>
              <w:t>for example Low.</w:t>
            </w:r>
            <w:r>
              <w:t xml:space="preserve"> </w:t>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Confidence score</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The probability of the predicted top class, for example 92%.</w:t>
            </w:r>
            <w:r>
              <w:t xml:space="preserve"> </w:t>
            </w:r>
          </w:p>
        </w:tc>
      </w:tr>
      <w:tr w:rsidR="0053633E">
        <w:trPr>
          <w:trHeight w:val="500"/>
        </w:trPr>
        <w:tc>
          <w:tcPr>
            <w:tcW w:w="4683" w:type="dxa"/>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Why it matters</w:t>
            </w:r>
            <w:r>
              <w:t xml:space="preserve"> </w:t>
            </w:r>
          </w:p>
        </w:tc>
        <w:tc>
          <w:tcPr>
            <w:tcW w:w="4678" w:type="dxa"/>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It helps the user see whether the model is confident or whether the case is borderline.</w:t>
            </w:r>
            <w:r>
              <w:t xml:space="preserve"> </w:t>
            </w:r>
          </w:p>
        </w:tc>
      </w:tr>
    </w:tbl>
    <w:p w:rsidR="0053633E" w:rsidRDefault="00BD38B1">
      <w:pPr>
        <w:spacing w:after="419"/>
        <w:ind w:left="-5"/>
      </w:pPr>
      <w:r>
        <w:t>For example, if a selected foreign-currency payment receives Low risk with 92% model confidence, the application displays Low and the full probability distribution. This is more transparent than displaying only a single label, but the score is not a guaranteed real-world probability.</w:t>
      </w:r>
      <w:r/>
    </w:p>
    <w:p w:rsidR="0053633E" w:rsidRDefault="00BD38B1">
      <w:pPr>
        <w:pStyle w:val="Heading1"/>
        <w:ind w:left="359" w:hanging="374"/>
      </w:pPr>
      <w:r>
        <w:t xml:space="preserve">App Workflow and Decision Support </w:t>
      </w:r>
    </w:p>
    <w:p w:rsidR="0053633E" w:rsidRDefault="00BD38B1">
      <w:pPr>
        <w:numPr>
          <w:ilvl w:val="0"/>
          <w:numId w:val="2"/>
        </w:numPr>
        <w:ind w:hanging="360"/>
      </w:pPr>
      <w:r>
        <w:t>The dashboard shows the latest official rate and data freshness for the selected USD, EUR, or KES currency pair.</w:t>
      </w:r>
      <w:r/>
    </w:p>
    <w:p w:rsidR="0053633E" w:rsidRDefault="00BD38B1">
      <w:pPr>
        <w:numPr>
          <w:ilvl w:val="0"/>
          <w:numId w:val="2"/>
        </w:numPr>
        <w:ind w:hanging="360"/>
      </w:pPr>
      <w:r>
        <w:t>The user opens Payment Check, selects the supplier-payment currency, and enters the invoice amount.</w:t>
      </w:r>
    </w:p>
    <w:p w:rsidR="0053633E" w:rsidRDefault="00BD38B1">
      <w:pPr>
        <w:numPr>
          <w:ilvl w:val="0"/>
          <w:numId w:val="2"/>
        </w:numPr>
        <w:ind w:hanging="360"/>
      </w:pPr>
      <w:r>
        <w:t xml:space="preserve">The user selects a 7-day or 14-day horizon. </w:t>
      </w:r>
    </w:p>
    <w:p w:rsidR="0053633E" w:rsidRDefault="00BD38B1">
      <w:pPr>
        <w:numPr>
          <w:ilvl w:val="0"/>
          <w:numId w:val="2"/>
        </w:numPr>
        <w:ind w:hanging="360"/>
      </w:pPr>
      <w:r>
        <w:t xml:space="preserve">The frontend sends the request to the FastAPI /api/predict-risk endpoint. </w:t>
      </w:r>
    </w:p>
    <w:p w:rsidR="0053633E" w:rsidRDefault="00BD38B1">
      <w:pPr>
        <w:numPr>
          <w:ilvl w:val="0"/>
          <w:numId w:val="2"/>
        </w:numPr>
        <w:ind w:hanging="360"/>
      </w:pPr>
      <w:r>
        <w:t xml:space="preserve">The backend loads the latest </w:t>
      </w:r>
      <w:r>
        <w:t xml:space="preserve">feature row and selected trained model. </w:t>
      </w:r>
    </w:p>
    <w:p w:rsidR="0053633E" w:rsidRDefault="00BD38B1">
      <w:pPr>
        <w:numPr>
          <w:ilvl w:val="0"/>
          <w:numId w:val="2"/>
        </w:numPr>
        <w:ind w:hanging="360"/>
      </w:pPr>
      <w:r>
        <w:t xml:space="preserve">The model returns a risk class, probabilities, and confidence score. </w:t>
      </w:r>
    </w:p>
    <w:p w:rsidR="0053633E" w:rsidRDefault="00BD38B1">
      <w:pPr>
        <w:numPr>
          <w:ilvl w:val="0"/>
          <w:numId w:val="2"/>
        </w:numPr>
        <w:ind w:hanging="360"/>
      </w:pPr>
      <w:r>
        <w:t>The application calculates the estimated RWF cost and a possible additional cost for the selected currency.</w:t>
      </w:r>
    </w:p>
    <w:p w:rsidR="0053633E" w:rsidRDefault="00BD38B1">
      <w:pPr>
        <w:numPr>
          <w:ilvl w:val="0"/>
          <w:numId w:val="2"/>
        </w:numPr>
        <w:spacing w:after="123"/>
        <w:ind w:hanging="360"/>
      </w:pPr>
      <w:r>
        <w:t>The app displays key drivers and turns the result into practical recommendations.</w:t>
      </w:r>
      <w:r>
        <w:t xml:space="preserve"> </w:t>
      </w:r>
    </w:p>
    <w:p w:rsidR="0053633E" w:rsidRDefault="00BD38B1">
      <w:pPr>
        <w:spacing w:after="419"/>
        <w:ind w:left="-5"/>
      </w:pPr>
      <w:r>
        <w:t xml:space="preserve">The recommendation logic translates model output into business actions. Low risk suggests normal monitoring. Medium risk suggests close monitoring and a buffer. High risk suggests stronger caution such as preparing a buffer, splitting payment, reviewing </w:t>
      </w:r>
      <w:r>
        <w:t xml:space="preserve">pricing, or considering earlier payment. </w:t>
      </w:r>
    </w:p>
    <w:p w:rsidR="0053633E" w:rsidRDefault="00BD38B1">
      <w:pPr>
        <w:pStyle w:val="Heading1"/>
        <w:spacing w:after="0"/>
        <w:ind w:left="498" w:hanging="513"/>
      </w:pPr>
      <w:r>
        <w:t xml:space="preserve">Assumptions, Limitations, and Future Work </w:t>
      </w:r>
    </w:p>
    <w:tbl>
      <w:tblPr>
        <w:tblStyle w:val="TableGrid"/>
        <w:tblW w:w="9360" w:type="dxa"/>
        <w:tblInd w:w="8" w:type="dxa"/>
        <w:tblCellMar>
          <w:top w:w="5" w:type="dxa"/>
          <w:left w:w="110" w:type="dxa"/>
          <w:bottom w:w="0" w:type="dxa"/>
          <w:right w:w="91" w:type="dxa"/>
        </w:tblCellMar>
        <w:tblLook w:val="04A0" w:firstRow="1" w:lastRow="0" w:firstColumn="1" w:lastColumn="0" w:noHBand="0" w:noVBand="1"/>
      </w:tblPr>
      <w:tblGrid>
        <w:gridCol w:w="2"/>
        <w:gridCol w:w="4681"/>
        <w:gridCol w:w="2"/>
        <w:gridCol w:w="4676"/>
        <w:gridCol w:w="2"/>
      </w:tblGrid>
      <w:tr w:rsidR="0053633E">
        <w:trPr>
          <w:gridAfter w:val="1"/>
          <w:trHeight w:val="259"/>
        </w:trPr>
        <w:tc>
          <w:tcPr>
            <w:tcW w:w="4683" w:type="dxa"/>
            <w:gridSpan w:val="2"/>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3" w:firstLine="0"/>
            </w:pPr>
            <w:r>
              <w:rPr>
                <w:b/>
                <w:sz w:val="18"/>
              </w:rPr>
              <w:t>Item</w:t>
            </w:r>
            <w:r>
              <w:t xml:space="preserve"> </w:t>
            </w:r>
          </w:p>
        </w:tc>
        <w:tc>
          <w:tcPr>
            <w:tcW w:w="4678" w:type="dxa"/>
            <w:gridSpan w:val="2"/>
            <w:tcBorders>
              <w:top w:val="single" w:sz="8" w:space="0" w:color="DADCE0"/>
              <w:left w:val="single" w:sz="8" w:space="0" w:color="DADCE0"/>
              <w:bottom w:val="single" w:sz="8" w:space="0" w:color="DADCE0"/>
              <w:right w:val="single" w:sz="8" w:space="0" w:color="DADCE0"/>
            </w:tcBorders>
            <w:shd w:val="clear" w:color="auto" w:fill="F2F4F7"/>
          </w:tcPr>
          <w:p w:rsidR="0053633E" w:rsidRDefault="00BD38B1">
            <w:pPr>
              <w:spacing w:after="0" w:line="259" w:lineRule="auto"/>
              <w:ind w:left="0" w:firstLine="0"/>
            </w:pPr>
            <w:r>
              <w:rPr>
                <w:b/>
                <w:sz w:val="18"/>
              </w:rPr>
              <w:t>Description</w:t>
            </w:r>
            <w:r>
              <w:t xml:space="preserve"> </w:t>
            </w:r>
          </w:p>
        </w:tc>
      </w:tr>
      <w:tr w:rsidR="0053633E">
        <w:trPr>
          <w:gridAfter w:val="1"/>
          <w:trHeight w:val="501"/>
        </w:trPr>
        <w:tc>
          <w:tcPr>
            <w:tcW w:w="4683" w:type="dxa"/>
            <w:gridSpan w:val="2"/>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Assumption 1</w:t>
            </w:r>
            <w:r>
              <w:t xml:space="preserve"> </w:t>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Recent exchange-rate behavior can help classify short-term risk.</w:t>
            </w:r>
            <w:r>
              <w:t xml:space="preserve"> </w:t>
            </w:r>
          </w:p>
        </w:tc>
      </w:tr>
      <w:tr w:rsidR="0053633E">
        <w:trPr>
          <w:gridAfter w:val="1"/>
          <w:trHeight w:val="480"/>
        </w:trPr>
        <w:tc>
          <w:tcPr>
            <w:tcW w:w="4683" w:type="dxa"/>
            <w:gridSpan w:val="2"/>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Assumption 2</w:t>
            </w:r>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USD, EUR, and KES represent useful supplier-payment currencies for the current prototype.</w:t>
            </w:r>
            <w:r>
              <w:rPr>
                <w:sz w:val="18"/>
              </w:rPr>
            </w:r>
            <w:r/>
          </w:p>
        </w:tc>
      </w:tr>
      <w:tr w:rsidR="0053633E">
        <w:trPr>
          <w:gridAfter w:val="1"/>
          <w:trHeight w:val="500"/>
        </w:trPr>
        <w:tc>
          <w:tcPr>
            <w:tcW w:w="4683" w:type="dxa"/>
            <w:gridSpan w:val="2"/>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3" w:firstLine="0"/>
            </w:pPr>
            <w:r>
              <w:rPr>
                <w:sz w:val="18"/>
              </w:rPr>
              <w:t>Assumption 3</w:t>
            </w:r>
            <w:r>
              <w:t xml:space="preserve"> </w:t>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Forward-filled non-posting days are acceptable for creating a continuous daily calendar.</w:t>
            </w:r>
            <w:r>
              <w:t xml:space="preserve"> </w:t>
            </w:r>
          </w:p>
        </w:tc>
      </w:tr>
      <w:tr w:rsidR="0053633E">
        <w:trPr>
          <w:gridAfter w:val="1"/>
          <w:trHeight w:val="260"/>
        </w:trPr>
        <w:tc>
          <w:tcPr>
            <w:tcW w:w="4683"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3" w:firstLine="0"/>
            </w:pPr>
            <w:r>
              <w:rPr>
                <w:sz w:val="18"/>
              </w:rPr>
              <w:t>Limitation 1</w:t>
            </w:r>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The current prototype supports USD, EUR, and KES only, rather than every currency used by Rwanda-based importers.</w:t>
            </w:r>
            <w:r/>
          </w:p>
        </w:tc>
      </w:tr>
      <w:tr w:rsidR="0053633E">
        <w:trPr>
          <w:gridBefore w:val="1"/>
          <w:trHeight w:val="720"/>
        </w:trPr>
        <w:tc>
          <w:tcPr>
            <w:tcW w:w="4683" w:type="dxa"/>
            <w:gridSpan w:val="2"/>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Limitation 2</w:t>
            </w:r>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Backtest performance is mixed, and the final USD holdout contains only the Low class.</w:t>
            </w:r>
            <w:r>
              <w:rPr>
                <w:sz w:val="18"/>
              </w:rPr>
            </w:r>
            <w:r/>
          </w:p>
        </w:tc>
      </w:tr>
      <w:tr w:rsidR="0053633E">
        <w:trPr>
          <w:gridBefore w:val="1"/>
          <w:trHeight w:val="500"/>
        </w:trPr>
        <w:tc>
          <w:tcPr>
            <w:tcW w:w="4683" w:type="dxa"/>
            <w:gridSpan w:val="2"/>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Limitation 3</w:t>
            </w:r>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The tool provides experimental decision support, not guaranteed financial, forex-trading, or professional advice.</w:t>
            </w:r>
            <w:r/>
          </w:p>
        </w:tc>
      </w:tr>
      <w:tr w:rsidR="0053633E">
        <w:trPr>
          <w:gridBefore w:val="1"/>
          <w:trHeight w:val="740"/>
        </w:trPr>
        <w:tc>
          <w:tcPr>
            <w:tcW w:w="4683" w:type="dxa"/>
            <w:gridSpan w:val="2"/>
            <w:tcBorders>
              <w:top w:val="single" w:sz="8" w:space="0" w:color="DADCE0"/>
              <w:left w:val="single" w:sz="8" w:space="0" w:color="DADCE0"/>
              <w:bottom w:val="single" w:sz="8" w:space="0" w:color="DADCE0"/>
              <w:right w:val="single" w:sz="8" w:space="0" w:color="DADCE0"/>
            </w:tcBorders>
            <w:vAlign w:val="center"/>
          </w:tcPr>
          <w:p w:rsidR="0053633E" w:rsidRDefault="00BD38B1">
            <w:pPr>
              <w:spacing w:after="0" w:line="259" w:lineRule="auto"/>
              <w:ind w:left="0" w:firstLine="0"/>
            </w:pPr>
            <w:r>
              <w:rPr>
                <w:sz w:val="18"/>
              </w:rPr>
              <w:t>Future work</w:t>
            </w:r>
            <w:r/>
          </w:p>
        </w:tc>
        <w:tc>
          <w:tcPr>
            <w:tcW w:w="4678" w:type="dxa"/>
            <w:gridSpan w:val="2"/>
            <w:tcBorders>
              <w:top w:val="single" w:sz="8" w:space="0" w:color="DADCE0"/>
              <w:left w:val="single" w:sz="8" w:space="0" w:color="DADCE0"/>
              <w:bottom w:val="single" w:sz="8" w:space="0" w:color="DADCE0"/>
              <w:right w:val="single" w:sz="8" w:space="0" w:color="DADCE0"/>
            </w:tcBorders>
          </w:tcPr>
          <w:p w:rsidR="0053633E" w:rsidRDefault="00BD38B1">
            <w:pPr>
              <w:spacing w:after="0" w:line="259" w:lineRule="auto"/>
              <w:ind w:left="0" w:firstLine="0"/>
            </w:pPr>
            <w:r>
              <w:rPr>
                <w:sz w:val="18"/>
              </w:rPr>
              <w:t>Add macroeconomic features, live outcome monitoring, probability calibration, more currencies, scheduled data refresh, and repeated future validation.</w:t>
            </w:r>
            <w:r>
              <w:rPr>
                <w:sz w:val="18"/>
              </w:rPr>
            </w:r>
            <w:r/>
          </w:p>
        </w:tc>
      </w:tr>
    </w:tbl>
    <w:p w:rsidR="0053633E" w:rsidRDefault="00BD38B1">
      <w:pPr>
        <w:pStyle w:val="Heading1"/>
        <w:ind w:left="410" w:hanging="425"/>
      </w:pPr>
      <w:r>
        <w:t xml:space="preserve">Repository and Installation Requirements </w:t>
      </w:r>
    </w:p>
    <w:p w:rsidR="0053633E" w:rsidRDefault="00BD38B1">
      <w:pPr>
        <w:spacing w:after="123"/>
        <w:ind w:left="-5"/>
      </w:pPr>
      <w:r>
        <w:t xml:space="preserve">To meet the technical submission rubric, the repository should be professional, reproducible, and easy for an evaluator to run. </w:t>
      </w:r>
    </w:p>
    <w:p w:rsidR="0053633E" w:rsidRDefault="00BD38B1">
      <w:pPr>
        <w:numPr>
          <w:ilvl w:val="0"/>
          <w:numId w:val="3"/>
        </w:numPr>
        <w:ind w:hanging="360"/>
      </w:pPr>
      <w:r>
        <w:t>Include a clear README with project summar</w:t>
      </w:r>
      <w:r>
        <w:t xml:space="preserve">y, problem statement, dataset description, model explanation, screenshots, demo link, and video link. </w:t>
      </w:r>
    </w:p>
    <w:p w:rsidR="0053633E" w:rsidRDefault="00BD38B1">
      <w:pPr>
        <w:numPr>
          <w:ilvl w:val="0"/>
          <w:numId w:val="3"/>
        </w:numPr>
        <w:ind w:hanging="360"/>
      </w:pPr>
      <w:r>
        <w:t xml:space="preserve">Provide installation commands such as pip install -r requirements.txt and python run_backend.py. </w:t>
      </w:r>
    </w:p>
    <w:p w:rsidR="0053633E" w:rsidRDefault="00BD38B1">
      <w:pPr>
        <w:numPr>
          <w:ilvl w:val="0"/>
          <w:numId w:val="3"/>
        </w:numPr>
        <w:ind w:hanging="360"/>
      </w:pPr>
      <w:r>
        <w:t xml:space="preserve">Document environment variables if any are required. </w:t>
      </w:r>
    </w:p>
    <w:p w:rsidR="0053633E" w:rsidRDefault="00BD38B1">
      <w:pPr>
        <w:numPr>
          <w:ilvl w:val="0"/>
          <w:numId w:val="3"/>
        </w:numPr>
        <w:ind w:hanging="360"/>
      </w:pPr>
      <w:r>
        <w:t xml:space="preserve">Use meaningful commits such as data preparation, feature engineering, model training, API integration, frontend implementation, and feedback form. </w:t>
      </w:r>
    </w:p>
    <w:p w:rsidR="0053633E" w:rsidRDefault="00BD38B1">
      <w:pPr>
        <w:numPr>
          <w:ilvl w:val="0"/>
          <w:numId w:val="3"/>
        </w:numPr>
        <w:ind w:hanging="360"/>
      </w:pPr>
      <w:r>
        <w:t xml:space="preserve">Include folders for data, notebooks, models, backend, frontend, reports, and screenshots. </w:t>
      </w:r>
    </w:p>
    <w:p w:rsidR="0053633E" w:rsidRDefault="00BD38B1">
      <w:pPr>
        <w:numPr>
          <w:ilvl w:val="0"/>
          <w:numId w:val="3"/>
        </w:numPr>
        <w:spacing w:after="122"/>
        <w:ind w:hanging="360"/>
      </w:pPr>
      <w:r>
        <w:t xml:space="preserve">Avoid committing </w:t>
      </w:r>
      <w:r>
        <w:t xml:space="preserve">secrets, API keys, private participant data, or unnecessary cache files. </w:t>
      </w:r>
    </w:p>
    <w:p w:rsidR="0053633E" w:rsidRDefault="00BD38B1">
      <w:pPr>
        <w:spacing w:after="125" w:line="259" w:lineRule="auto"/>
        <w:ind w:left="0" w:firstLine="0"/>
      </w:pPr>
      <w:r>
        <w:t xml:space="preserve"> </w:t>
      </w:r>
    </w:p>
    <w:p w:rsidR="0053633E" w:rsidRDefault="00BD38B1">
      <w:pPr>
        <w:spacing w:after="125" w:line="259" w:lineRule="auto"/>
        <w:ind w:left="0" w:firstLine="0"/>
      </w:pPr>
      <w:r>
        <w:t xml:space="preserve"> </w:t>
      </w:r>
    </w:p>
    <w:p w:rsidR="0053633E" w:rsidRDefault="00BD38B1">
      <w:pPr>
        <w:spacing w:after="0" w:line="259" w:lineRule="auto"/>
        <w:ind w:left="360" w:firstLine="0"/>
      </w:pPr>
      <w:r>
        <w:t xml:space="preserve"> </w:t>
      </w:r>
    </w:p>
    <w:sectPr w:rsidR="0053633E">
      <w:pgSz w:w="12240" w:h="15840"/>
      <w:pgMar w:top="1440" w:right="1450"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82559"/>
    <w:multiLevelType w:val="hybridMultilevel"/>
    <w:tmpl w:val="11D8102E"/>
    <w:lvl w:ilvl="0" w:tplc="14FC4CF0">
      <w:start w:val="1"/>
      <w:numFmt w:val="decimal"/>
      <w:pStyle w:val="Heading1"/>
      <w:lvlText w:val="%1."/>
      <w:lvlJc w:val="left"/>
      <w:pPr>
        <w:ind w:left="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1" w:tplc="ED6E2D06">
      <w:start w:val="1"/>
      <w:numFmt w:val="lowerLetter"/>
      <w:lvlText w:val="%2"/>
      <w:lvlJc w:val="left"/>
      <w:pPr>
        <w:ind w:left="10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2" w:tplc="B4F0D850">
      <w:start w:val="1"/>
      <w:numFmt w:val="lowerRoman"/>
      <w:lvlText w:val="%3"/>
      <w:lvlJc w:val="left"/>
      <w:pPr>
        <w:ind w:left="18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3" w:tplc="FFF2A7A6">
      <w:start w:val="1"/>
      <w:numFmt w:val="decimal"/>
      <w:lvlText w:val="%4"/>
      <w:lvlJc w:val="left"/>
      <w:pPr>
        <w:ind w:left="25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4" w:tplc="20CA3C84">
      <w:start w:val="1"/>
      <w:numFmt w:val="lowerLetter"/>
      <w:lvlText w:val="%5"/>
      <w:lvlJc w:val="left"/>
      <w:pPr>
        <w:ind w:left="324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5" w:tplc="EC08823C">
      <w:start w:val="1"/>
      <w:numFmt w:val="lowerRoman"/>
      <w:lvlText w:val="%6"/>
      <w:lvlJc w:val="left"/>
      <w:pPr>
        <w:ind w:left="396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6" w:tplc="C70A4828">
      <w:start w:val="1"/>
      <w:numFmt w:val="decimal"/>
      <w:lvlText w:val="%7"/>
      <w:lvlJc w:val="left"/>
      <w:pPr>
        <w:ind w:left="468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7" w:tplc="A1A49DD8">
      <w:start w:val="1"/>
      <w:numFmt w:val="lowerLetter"/>
      <w:lvlText w:val="%8"/>
      <w:lvlJc w:val="left"/>
      <w:pPr>
        <w:ind w:left="540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lvl w:ilvl="8" w:tplc="F880F0A2">
      <w:start w:val="1"/>
      <w:numFmt w:val="lowerRoman"/>
      <w:lvlText w:val="%9"/>
      <w:lvlJc w:val="left"/>
      <w:pPr>
        <w:ind w:left="6120"/>
      </w:pPr>
      <w:rPr>
        <w:rFonts w:ascii="Calibri" w:eastAsia="Calibri" w:hAnsi="Calibri" w:cs="Calibri"/>
        <w:b/>
        <w:bCs/>
        <w:i w:val="0"/>
        <w:strike w:val="0"/>
        <w:dstrike w:val="0"/>
        <w:color w:val="2E74B5"/>
        <w:sz w:val="32"/>
        <w:szCs w:val="32"/>
        <w:u w:val="none" w:color="000000"/>
        <w:bdr w:val="none" w:sz="0" w:space="0" w:color="auto"/>
        <w:shd w:val="clear" w:color="auto" w:fill="auto"/>
        <w:vertAlign w:val="baseline"/>
      </w:rPr>
    </w:lvl>
  </w:abstractNum>
  <w:abstractNum w:abstractNumId="1" w15:restartNumberingAfterBreak="0">
    <w:nsid w:val="2D8D28F5"/>
    <w:multiLevelType w:val="hybridMultilevel"/>
    <w:tmpl w:val="FC609D8C"/>
    <w:lvl w:ilvl="0" w:tplc="A8B841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AC66B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84AC9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1C96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322BC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4EE62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74621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BE3F2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B69BB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0366850"/>
    <w:multiLevelType w:val="hybridMultilevel"/>
    <w:tmpl w:val="4342BDAA"/>
    <w:lvl w:ilvl="0" w:tplc="9BB84BD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8A855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9A5F8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C69C9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52F2A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320E3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BE2E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90BB8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88504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C26775E"/>
    <w:multiLevelType w:val="hybridMultilevel"/>
    <w:tmpl w:val="378C81D4"/>
    <w:lvl w:ilvl="0" w:tplc="310C04F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F201B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703E2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18A0C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46251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04A30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7805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8469B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EEBB0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33E"/>
    <w:rsid w:val="0053633E"/>
    <w:rsid w:val="00BD3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3D0A0668-18D8-43AB-9F01-078D875F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2"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4"/>
      </w:numPr>
      <w:spacing w:after="30"/>
      <w:ind w:left="10" w:hanging="10"/>
      <w:outlineLvl w:val="0"/>
    </w:pPr>
    <w:rPr>
      <w:rFonts w:ascii="Calibri" w:eastAsia="Calibri" w:hAnsi="Calibri" w:cs="Calibri"/>
      <w:b/>
      <w:color w:val="2E74B5"/>
      <w:sz w:val="32"/>
    </w:rPr>
  </w:style>
  <w:style w:type="paragraph" w:styleId="Heading2">
    <w:name w:val="heading 2"/>
    <w:next w:val="Normal"/>
    <w:link w:val="Heading2Char"/>
    <w:uiPriority w:val="9"/>
    <w:unhideWhenUsed/>
    <w:qFormat/>
    <w:pPr>
      <w:keepNext/>
      <w:keepLines/>
      <w:pBdr>
        <w:top w:val="single" w:sz="8" w:space="0" w:color="DADCE0"/>
        <w:left w:val="single" w:sz="8" w:space="0" w:color="DADCE0"/>
        <w:bottom w:val="single" w:sz="8" w:space="0" w:color="DADCE0"/>
        <w:right w:val="single" w:sz="8" w:space="0" w:color="DADCE0"/>
      </w:pBdr>
      <w:shd w:val="clear" w:color="auto" w:fill="F4F6F9"/>
      <w:spacing w:after="0"/>
      <w:ind w:left="120"/>
      <w:outlineLvl w:val="1"/>
    </w:pPr>
    <w:rPr>
      <w:rFonts w:ascii="Calibri" w:eastAsia="Calibri" w:hAnsi="Calibri" w:cs="Calibri"/>
      <w:b/>
      <w:color w:val="9B1C1C"/>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9B1C1C"/>
      <w:sz w:val="20"/>
    </w:rPr>
  </w:style>
  <w:style w:type="character" w:customStyle="1" w:styleId="Heading1Char">
    <w:name w:val="Heading 1 Char"/>
    <w:link w:val="Heading1"/>
    <w:rPr>
      <w:rFonts w:ascii="Calibri" w:eastAsia="Calibri" w:hAnsi="Calibri" w:cs="Calibri"/>
      <w:b/>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1511</Words>
  <Characters>9056</Characters>
  <Application>Microsoft Office Word</Application>
  <DocSecurity>4</DocSecurity>
  <Lines>295</Lines>
  <Paragraphs>205</Paragraphs>
  <ScaleCrop>false</ScaleCrop>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FXGuard AI_Technical_Report By Liliane Gikundiro</dc:title>
  <dc:subject>Multicurrency exchange-rate risk forecasting, rolling-origin backtesting, and decision support</dc:subject>
  <dc:creator>Prime core</dc:creator>
  <cp:keywords/>
  <cp:lastModifiedBy>Prime core</cp:lastModifiedBy>
  <cp:revision>2</cp:revision>
  <dcterms:created xsi:type="dcterms:W3CDTF">2026-07-19T18:11:00Z</dcterms:created>
  <dcterms:modified xsi:type="dcterms:W3CDTF">2026-07-19T18:11:00Z</dcterms:modified>
  <dc:description>Updated with verified multicurrency backtesting and automated test results.</dc:description>
</cp:coreProperties>
</file>