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633E" w:rsidRDefault="00BD38B1">
      <w:pPr>
        <w:spacing w:after="0" w:line="259" w:lineRule="auto"/>
        <w:ind w:firstLine="0"/>
        <w:jc w:val="center"/>
      </w:pPr>
      <w:bookmarkStart w:id="0" w:name="_GoBack"/>
      <w:bookmarkEnd w:id="0"/>
      <w:r>
        <w:rPr>
          <w:b/>
          <w:color w:val="10201C"/>
          <w:sz w:val="48"/>
        </w:rPr>
        <w:t>FXGuard AI Technical Report</w:t>
      </w:r>
      <w:r>
        <w:t xml:space="preserve"> </w:t>
      </w:r>
    </w:p>
    <w:p w:rsidR="0053633E" w:rsidRDefault="00BD38B1">
      <w:pPr>
        <w:spacing w:after="61" w:line="265" w:lineRule="auto"/>
        <w:ind w:left="0" w:firstLine="0"/>
        <w:jc w:val="center"/>
      </w:pPr>
      <w:r>
        <w:rPr>
          <w:color w:val="5A6460"/>
          <w:sz w:val="26"/>
        </w:rPr>
        <w:t>USD/RWF exchange-rate risk forecasting and decision-support prototype</w:t>
      </w:r>
      <w:r>
        <w:t xml:space="preserve"> </w:t>
      </w:r>
    </w:p>
    <w:p w:rsidR="0053633E" w:rsidRDefault="00BD38B1">
      <w:pPr>
        <w:spacing w:after="0" w:line="259" w:lineRule="auto"/>
        <w:ind w:left="0" w:firstLine="0"/>
        <w:jc w:val="center"/>
      </w:pPr>
      <w:r>
        <w:rPr>
          <w:color w:val="5A6460"/>
          <w:sz w:val="20"/>
        </w:rPr>
        <w:t>Prepared by: Liliane Gikundiro | Software Engineering and Machine Learning | African Leadership University</w:t>
      </w:r>
      <w:r>
        <w:t xml:space="preserve"> </w:t>
      </w:r>
    </w:p>
    <w:tbl>
      <w:tblPr>
        <w:tblStyle w:val="TableGrid"/>
        <w:tblW w:w="9360" w:type="dxa"/>
        <w:tblInd w:w="8" w:type="dxa"/>
        <w:tblCellMar>
          <w:top w:w="21" w:type="dxa"/>
          <w:left w:w="113" w:type="dxa"/>
          <w:bottom w:w="0" w:type="dxa"/>
          <w:right w:w="115" w:type="dxa"/>
        </w:tblCellMar>
        <w:tblLook w:val="04A0" w:firstRow="1" w:lastRow="0" w:firstColumn="1" w:lastColumn="0" w:noHBand="0" w:noVBand="1"/>
      </w:tblPr>
      <w:tblGrid>
        <w:gridCol w:w="9360"/>
      </w:tblGrid>
      <w:tr w:rsidR="0053633E">
        <w:trPr>
          <w:trHeight w:val="699"/>
        </w:trPr>
        <w:tc>
          <w:tcPr>
            <w:tcW w:w="9360" w:type="dxa"/>
            <w:tcBorders>
              <w:top w:val="single" w:sz="8" w:space="0" w:color="DADCE0"/>
              <w:left w:val="single" w:sz="8" w:space="0" w:color="DADCE0"/>
              <w:bottom w:val="single" w:sz="8" w:space="0" w:color="DADCE0"/>
              <w:right w:val="single" w:sz="8" w:space="0" w:color="DADCE0"/>
            </w:tcBorders>
            <w:shd w:val="clear" w:color="auto" w:fill="F4F6F9"/>
          </w:tcPr>
          <w:p w:rsidR="0053633E" w:rsidRDefault="00BD38B1">
            <w:pPr>
              <w:spacing w:after="5" w:line="259" w:lineRule="auto"/>
              <w:ind w:left="0" w:firstLine="0"/>
            </w:pPr>
            <w:r>
              <w:t xml:space="preserve"> </w:t>
            </w:r>
          </w:p>
          <w:p w:rsidR="0053633E" w:rsidRDefault="00BD38B1">
            <w:pPr>
              <w:spacing w:after="0" w:line="259" w:lineRule="auto"/>
              <w:ind w:left="0" w:firstLine="0"/>
            </w:pPr>
            <w:r>
              <w:t xml:space="preserve"> </w:t>
            </w:r>
          </w:p>
        </w:tc>
      </w:tr>
    </w:tbl>
    <w:p w:rsidR="0053633E" w:rsidRDefault="00BD38B1">
      <w:pPr>
        <w:spacing w:after="422" w:line="259" w:lineRule="auto"/>
        <w:ind w:left="0" w:firstLine="0"/>
      </w:pPr>
      <w:r>
        <w:t xml:space="preserve"> </w:t>
      </w:r>
    </w:p>
    <w:p w:rsidR="0053633E" w:rsidRDefault="00BD38B1">
      <w:pPr>
        <w:pStyle w:val="Heading1"/>
        <w:ind w:left="285" w:hanging="300"/>
      </w:pPr>
      <w:r>
        <w:t xml:space="preserve">Project Overview </w:t>
      </w:r>
    </w:p>
    <w:p w:rsidR="0053633E" w:rsidRDefault="00BD38B1">
      <w:pPr>
        <w:spacing w:after="122"/>
        <w:ind w:left="-5"/>
      </w:pPr>
      <w:r>
        <w:t xml:space="preserve">Many importers in </w:t>
      </w:r>
      <w:r>
        <w:t>Rwanda earn revenue in Rwandan francs but pay international suppliers in U.S. dollars. When the Rwandan franc weakens before the supplier payment date, the same USD invoice becomes more expensive in RWF. FXGuard AI addresses this problem by converting hist</w:t>
      </w:r>
      <w:r>
        <w:t xml:space="preserve">orical exchange-rate behavior into an interpretable risk classification. </w:t>
      </w:r>
    </w:p>
    <w:p w:rsidR="0053633E" w:rsidRDefault="00BD38B1">
      <w:pPr>
        <w:ind w:left="-5"/>
      </w:pPr>
      <w:r>
        <w:t>FXGuard AI is a web-based decision-support prototype for Rwanda-based importers. It uses official USD/RWF exchange-rate data, engineered time-series features, and classification mode</w:t>
      </w:r>
      <w:r>
        <w:t xml:space="preserve">ls to estimate whether a USD supplier payment faces Low, Medium, or High depreciation risk over a 7-day or 14-day horizon. </w:t>
      </w:r>
    </w:p>
    <w:tbl>
      <w:tblPr>
        <w:tblStyle w:val="TableGrid"/>
        <w:tblW w:w="9360" w:type="dxa"/>
        <w:tblInd w:w="8" w:type="dxa"/>
        <w:tblCellMar>
          <w:top w:w="11" w:type="dxa"/>
          <w:left w:w="110" w:type="dxa"/>
          <w:bottom w:w="0" w:type="dxa"/>
          <w:right w:w="87" w:type="dxa"/>
        </w:tblCellMar>
        <w:tblLook w:val="04A0" w:firstRow="1" w:lastRow="0" w:firstColumn="1" w:lastColumn="0" w:noHBand="0" w:noVBand="1"/>
      </w:tblPr>
      <w:tblGrid>
        <w:gridCol w:w="4682"/>
        <w:gridCol w:w="4678"/>
      </w:tblGrid>
      <w:tr w:rsidR="0053633E">
        <w:trPr>
          <w:trHeight w:val="259"/>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Detail</w:t>
            </w:r>
            <w:r>
              <w:t xml:space="preserve"> </w:t>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Problem</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Short-term USD/RWF movements can increase import costs, reduce margins, and create payment planning u</w:t>
            </w:r>
            <w:r>
              <w:rPr>
                <w:sz w:val="18"/>
              </w:rPr>
              <w:t>ncertainty.</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Goal</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Classify short-term USD/RWF depreciation risk as Low, Medium, or High.</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Users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Rwanda-based importers, small business owners, accountants, and finance professionals.</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MVP scope</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USD/RWF only, 4-year daily BNR dataset, 7-day and 14-day</w:t>
            </w:r>
            <w:r>
              <w:rPr>
                <w:sz w:val="18"/>
              </w:rPr>
              <w:t xml:space="preserve"> prediction horizons, FastAPI backend, web frontend.</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Output</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Risk class, probability distribution, confidence score, current RWF cost, possible extra cost, key drivers, and recommendations.</w:t>
            </w:r>
            <w:r>
              <w:t xml:space="preserve"> </w:t>
            </w:r>
          </w:p>
        </w:tc>
      </w:tr>
    </w:tbl>
    <w:p w:rsidR="0053633E" w:rsidRDefault="00BD38B1">
      <w:pPr>
        <w:spacing w:after="0" w:line="259" w:lineRule="auto"/>
        <w:ind w:left="2325" w:firstLine="0"/>
      </w:pPr>
      <w:r>
        <w:t xml:space="preserve"> </w:t>
      </w:r>
    </w:p>
    <w:p w:rsidR="0053633E" w:rsidRDefault="00BD38B1">
      <w:pPr>
        <w:pStyle w:val="Heading1"/>
        <w:ind w:left="351" w:hanging="366"/>
      </w:pPr>
      <w:r>
        <w:t xml:space="preserve">Data Used </w:t>
      </w:r>
    </w:p>
    <w:p w:rsidR="0053633E" w:rsidRDefault="00BD38B1">
      <w:pPr>
        <w:ind w:left="-5"/>
      </w:pPr>
      <w:r>
        <w:t>The dataset used in the MVP is a prepared officia</w:t>
      </w:r>
      <w:r>
        <w:t xml:space="preserve">l BNR USD/RWF exchange-rate export. The prototype focuses on USD/RWF because USD is widely used in international supplier payments and the available dataset supports a complete first version. </w:t>
      </w:r>
    </w:p>
    <w:tbl>
      <w:tblPr>
        <w:tblStyle w:val="TableGrid"/>
        <w:tblW w:w="9360" w:type="dxa"/>
        <w:tblInd w:w="8" w:type="dxa"/>
        <w:tblCellMar>
          <w:top w:w="6" w:type="dxa"/>
          <w:left w:w="110" w:type="dxa"/>
          <w:bottom w:w="0" w:type="dxa"/>
          <w:right w:w="115" w:type="dxa"/>
        </w:tblCellMar>
        <w:tblLook w:val="04A0" w:firstRow="1" w:lastRow="0" w:firstColumn="1" w:lastColumn="0" w:noHBand="0" w:noVBand="1"/>
      </w:tblPr>
      <w:tblGrid>
        <w:gridCol w:w="4682"/>
        <w:gridCol w:w="4678"/>
      </w:tblGrid>
      <w:tr w:rsidR="0053633E">
        <w:trPr>
          <w:trHeight w:val="260"/>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t xml:space="preserve"> </w:t>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Source</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BNR USD/RWF exchange-rate export </w:t>
            </w:r>
            <w:r>
              <w:rPr>
                <w:sz w:val="18"/>
              </w:rPr>
              <w:t>prepared for the project.</w:t>
            </w:r>
            <w:r>
              <w:t xml:space="preserve"> </w:t>
            </w:r>
          </w:p>
        </w:tc>
      </w:tr>
      <w:tr w:rsidR="0053633E">
        <w:trPr>
          <w:trHeight w:val="240"/>
        </w:trPr>
        <w:tc>
          <w:tcPr>
            <w:tcW w:w="468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Currency pair</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USD/RWF.</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lastRenderedPageBreak/>
              <w:t>Period</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Approximately four years of daily exchange-rate observations, prepared from 2022-01-01 to 2026-06-25 in the presentation version.</w:t>
            </w:r>
            <w:r>
              <w:t xml:space="preserve"> </w:t>
            </w:r>
          </w:p>
        </w:tc>
      </w:tr>
      <w:tr w:rsidR="0053633E">
        <w:trPr>
          <w:trHeight w:val="260"/>
        </w:trPr>
        <w:tc>
          <w:tcPr>
            <w:tcW w:w="468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Raw fields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date, buying_rate, selling_rate.</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Prepared fields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daily calendar, mid_rate, engineered features, 7-day labels, and 14-day labels.</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Daily calendar approach</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Missing non-posting days were handled using forward-fill to create a continuous daily time series.</w:t>
            </w:r>
            <w:r>
              <w:t xml:space="preserve"> </w:t>
            </w:r>
          </w:p>
        </w:tc>
      </w:tr>
    </w:tbl>
    <w:p w:rsidR="0053633E" w:rsidRDefault="00BD38B1">
      <w:pPr>
        <w:pStyle w:val="Heading1"/>
        <w:ind w:left="349" w:hanging="364"/>
      </w:pPr>
      <w:r>
        <w:t xml:space="preserve">Classes and Risk Labels </w:t>
      </w:r>
    </w:p>
    <w:p w:rsidR="0053633E" w:rsidRDefault="00BD38B1">
      <w:pPr>
        <w:ind w:left="-5"/>
      </w:pPr>
      <w:r>
        <w:t>FXGuard AI is treated</w:t>
      </w:r>
      <w:r>
        <w:t xml:space="preserve"> as a multi-class classification problem. The model predicts one of three risk classes for each selected horizon. </w:t>
      </w:r>
    </w:p>
    <w:tbl>
      <w:tblPr>
        <w:tblStyle w:val="TableGrid"/>
        <w:tblW w:w="9360" w:type="dxa"/>
        <w:tblInd w:w="8" w:type="dxa"/>
        <w:tblCellMar>
          <w:top w:w="6" w:type="dxa"/>
          <w:left w:w="110" w:type="dxa"/>
          <w:bottom w:w="0" w:type="dxa"/>
          <w:right w:w="115" w:type="dxa"/>
        </w:tblCellMar>
        <w:tblLook w:val="04A0" w:firstRow="1" w:lastRow="0" w:firstColumn="1" w:lastColumn="0" w:noHBand="0" w:noVBand="1"/>
      </w:tblPr>
      <w:tblGrid>
        <w:gridCol w:w="4683"/>
        <w:gridCol w:w="4678"/>
      </w:tblGrid>
      <w:tr w:rsidR="0053633E">
        <w:trPr>
          <w:trHeight w:val="258"/>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t xml:space="preserve"> </w:t>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trHeight w:val="482"/>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Low 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short-term outlook suggests limited cost pressure.</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Medium 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The user should monitor the rate and </w:t>
            </w:r>
            <w:r>
              <w:rPr>
                <w:sz w:val="18"/>
              </w:rPr>
              <w:t>prepare a payment or pricing buffer.</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High 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payment may be more exposed; the user should consider earlier payment, splitting the payment, or reviewing prices.</w:t>
            </w:r>
            <w:r>
              <w:t xml:space="preserve"> </w:t>
            </w:r>
          </w:p>
        </w:tc>
      </w:tr>
    </w:tbl>
    <w:p w:rsidR="0053633E" w:rsidRDefault="00BD38B1">
      <w:pPr>
        <w:spacing w:after="419"/>
        <w:ind w:left="-5"/>
      </w:pPr>
      <w:r>
        <w:t>The labels are created by looking ahead in the historical dataset. For a 7-day label,</w:t>
      </w:r>
      <w:r>
        <w:t xml:space="preserve"> the system compares today's mid_rate to the mid_rate seven days later. For a 14-day label, it compares today's mid_rate to the mid_rate fourteen days later. The resulting future depreciation is converted into Low, Medium, or High risk. </w:t>
      </w:r>
    </w:p>
    <w:p w:rsidR="0053633E" w:rsidRDefault="00BD38B1">
      <w:pPr>
        <w:pStyle w:val="Heading1"/>
        <w:ind w:left="386" w:hanging="401"/>
      </w:pPr>
      <w:r>
        <w:t xml:space="preserve">Feature </w:t>
      </w:r>
      <w:r>
        <w:t xml:space="preserve">Engineering </w:t>
      </w:r>
    </w:p>
    <w:p w:rsidR="0053633E" w:rsidRDefault="00BD38B1">
      <w:pPr>
        <w:spacing w:after="122"/>
        <w:ind w:left="-5"/>
      </w:pPr>
      <w:r>
        <w:t>The raw exchange-rate data was transformed into model-ready features. The core assumption is that exchange-rate risk is not only explained by today's rate; it is also shaped by recent movement, volatility, momentum, spread, and repeated deprec</w:t>
      </w:r>
      <w:r>
        <w:t xml:space="preserve">iation pressure. </w:t>
      </w:r>
    </w:p>
    <w:p w:rsidR="0053633E" w:rsidRDefault="00BD38B1">
      <w:pPr>
        <w:spacing w:after="125" w:line="259" w:lineRule="auto"/>
        <w:ind w:left="0" w:firstLine="0"/>
      </w:pPr>
      <w:r>
        <w:t xml:space="preserve"> </w:t>
      </w:r>
    </w:p>
    <w:p w:rsidR="0053633E" w:rsidRDefault="00BD38B1">
      <w:pPr>
        <w:spacing w:after="0" w:line="259" w:lineRule="auto"/>
        <w:ind w:left="0" w:firstLine="0"/>
      </w:pPr>
      <w:r>
        <w:t xml:space="preserve"> </w:t>
      </w:r>
    </w:p>
    <w:tbl>
      <w:tblPr>
        <w:tblStyle w:val="TableGrid"/>
        <w:tblW w:w="9360" w:type="dxa"/>
        <w:tblInd w:w="8" w:type="dxa"/>
        <w:tblCellMar>
          <w:top w:w="5" w:type="dxa"/>
          <w:left w:w="110" w:type="dxa"/>
          <w:bottom w:w="0" w:type="dxa"/>
          <w:right w:w="115" w:type="dxa"/>
        </w:tblCellMar>
        <w:tblLook w:val="04A0" w:firstRow="1" w:lastRow="0" w:firstColumn="1" w:lastColumn="0" w:noHBand="0" w:noVBand="1"/>
      </w:tblPr>
      <w:tblGrid>
        <w:gridCol w:w="3123"/>
        <w:gridCol w:w="3120"/>
        <w:gridCol w:w="3118"/>
      </w:tblGrid>
      <w:tr w:rsidR="0053633E">
        <w:trPr>
          <w:trHeight w:val="243"/>
        </w:trPr>
        <w:tc>
          <w:tcPr>
            <w:tcW w:w="312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Feature</w:t>
            </w:r>
            <w:r>
              <w:t xml:space="preserve"> </w:t>
            </w:r>
          </w:p>
        </w:tc>
        <w:tc>
          <w:tcPr>
            <w:tcW w:w="3120"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Engineering logic</w:t>
            </w:r>
            <w:r>
              <w:t xml:space="preserve"> </w:t>
            </w:r>
          </w:p>
        </w:tc>
        <w:tc>
          <w:tcPr>
            <w:tcW w:w="311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Purpose</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mid_rate</w:t>
            </w:r>
            <w:r>
              <w:t xml:space="preserve"> </w:t>
            </w:r>
          </w:p>
        </w:tc>
        <w:tc>
          <w:tcPr>
            <w:tcW w:w="31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(buying_rate + selling_rate) / 2</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Main exchange-rate value used for modeling.</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daily_return</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Day-to-day percentage change in mid_rate</w:t>
            </w:r>
            <w:r>
              <w:t xml:space="preserve"> </w:t>
            </w:r>
          </w:p>
        </w:tc>
        <w:tc>
          <w:tcPr>
            <w:tcW w:w="3118"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Shows the latest movement.</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return_7d, return_14d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Percentage change over 7 and 14 days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Captures short-term depreciation trend.</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ma_7, ma_14, ma_30</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Moving averages over 7, 14, and 30 days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right="4" w:firstLine="0"/>
            </w:pPr>
            <w:r>
              <w:rPr>
                <w:sz w:val="18"/>
              </w:rPr>
              <w:t>Smooths noise and shows trend direction.</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ma_gap</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Difference between short-term and longer-term averages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Shows </w:t>
            </w:r>
            <w:r>
              <w:rPr>
                <w:sz w:val="18"/>
              </w:rPr>
              <w:t>whether recent rates are above longer trend.</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volatility_7d, volatility_14d, volatility_30d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Rolling standard deviation of returns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Measures instability and uncertainty.</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momentum_7d, momentum_14d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Recent movement direction over one or two weeks</w:t>
            </w:r>
            <w:r>
              <w:t xml:space="preserve"> </w:t>
            </w:r>
          </w:p>
        </w:tc>
        <w:tc>
          <w:tcPr>
            <w:tcW w:w="3118"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Captures pressure direction.</w:t>
            </w:r>
            <w:r>
              <w:t xml:space="preserve"> </w:t>
            </w:r>
          </w:p>
        </w:tc>
      </w:tr>
      <w:tr w:rsidR="0053633E">
        <w:trPr>
          <w:trHeight w:val="48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spread, spread_pct</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selling_rate - buying_rate and relative spread</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Captures transaction cost and market pressure.</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depreciation_days_7d, depreciation_days_14d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Number of recent days where USD/RWF increased</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Shows how </w:t>
            </w:r>
            <w:r>
              <w:rPr>
                <w:sz w:val="18"/>
              </w:rPr>
              <w:t>persistent weakening pressure has been.</w:t>
            </w:r>
            <w:r>
              <w:t xml:space="preserve"> </w:t>
            </w:r>
          </w:p>
        </w:tc>
      </w:tr>
    </w:tbl>
    <w:p w:rsidR="0053633E" w:rsidRDefault="00BD38B1">
      <w:pPr>
        <w:pStyle w:val="Heading1"/>
        <w:ind w:left="350" w:hanging="365"/>
      </w:pPr>
      <w:r>
        <w:t xml:space="preserve">Functions and System Components </w:t>
      </w:r>
    </w:p>
    <w:p w:rsidR="0053633E" w:rsidRDefault="00BD38B1">
      <w:pPr>
        <w:ind w:left="-5"/>
      </w:pPr>
      <w:r>
        <w:t xml:space="preserve">The application is separated into a simple frontend and a FastAPI backend. The backend owns the data loading, model loading, prediction, and response formatting logic. </w:t>
      </w:r>
    </w:p>
    <w:tbl>
      <w:tblPr>
        <w:tblStyle w:val="TableGrid"/>
        <w:tblW w:w="9360" w:type="dxa"/>
        <w:tblInd w:w="8" w:type="dxa"/>
        <w:tblCellMar>
          <w:top w:w="9" w:type="dxa"/>
          <w:left w:w="110" w:type="dxa"/>
          <w:bottom w:w="0" w:type="dxa"/>
          <w:right w:w="115" w:type="dxa"/>
        </w:tblCellMar>
        <w:tblLook w:val="04A0" w:firstRow="1" w:lastRow="0" w:firstColumn="1" w:lastColumn="0" w:noHBand="0" w:noVBand="1"/>
      </w:tblPr>
      <w:tblGrid>
        <w:gridCol w:w="4683"/>
        <w:gridCol w:w="4678"/>
      </w:tblGrid>
      <w:tr w:rsidR="0053633E">
        <w:trPr>
          <w:trHeight w:val="258"/>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 xml:space="preserve">Function / </w:t>
            </w:r>
            <w:r>
              <w:rPr>
                <w:b/>
                <w:sz w:val="18"/>
              </w:rPr>
              <w:t>endpoint</w:t>
            </w:r>
            <w:r>
              <w:t xml:space="preserve"> </w:t>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Role in the prototype</w:t>
            </w:r>
            <w:r>
              <w:t xml:space="preserve"> </w:t>
            </w:r>
          </w:p>
        </w:tc>
      </w:tr>
      <w:tr w:rsidR="0053633E">
        <w:trPr>
          <w:trHeight w:val="483"/>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load_daily_calendar()</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Loads the prepared daily USD/RWF exchange-rate series.</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load_features()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Loads the engineered model-ready feature dataset.</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model_predict()</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Loads the trained model for the selected horizon and </w:t>
            </w:r>
            <w:r>
              <w:rPr>
                <w:sz w:val="18"/>
              </w:rPr>
              <w:t>returns the predicted class and class probabilities.</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/api/latest-rate</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Returns the latest available USD/RWF exchange rate.</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/api/data-freshness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Reports how old the local dataset is, supporting transparency and retraining decisions.</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/api/predict-risk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Receives user amount and horizon, then returns risk class, confidence, cost estimate, key drivers, and recommendations.</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/feedback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Saves participant usability feedback for evaluation.</w:t>
            </w:r>
            <w:r>
              <w:t xml:space="preserve"> </w:t>
            </w:r>
          </w:p>
        </w:tc>
      </w:tr>
    </w:tbl>
    <w:p w:rsidR="0053633E" w:rsidRDefault="00BD38B1">
      <w:pPr>
        <w:spacing w:after="327" w:line="259" w:lineRule="auto"/>
        <w:ind w:left="0" w:firstLine="0"/>
      </w:pPr>
      <w:r>
        <w:rPr>
          <w:b/>
          <w:color w:val="2E74B5"/>
          <w:sz w:val="32"/>
        </w:rPr>
        <w:t xml:space="preserve"> </w:t>
      </w:r>
    </w:p>
    <w:p w:rsidR="0053633E" w:rsidRDefault="00BD38B1">
      <w:pPr>
        <w:pStyle w:val="Heading1"/>
        <w:ind w:left="366" w:hanging="381"/>
      </w:pPr>
      <w:r>
        <w:t xml:space="preserve">Models Trained and Compared </w:t>
      </w:r>
    </w:p>
    <w:p w:rsidR="0053633E" w:rsidRDefault="00BD38B1">
      <w:pPr>
        <w:ind w:left="-5"/>
      </w:pPr>
      <w:r>
        <w:t xml:space="preserve">Three classification models were </w:t>
      </w:r>
      <w:r>
        <w:t xml:space="preserve">trained and compared for both the 7-day and 14-day horizons: Logistic Regression, Random Forest, and XGBoost. The goal was to compare a simple interpretable model with more complex tree-based models. </w:t>
      </w:r>
    </w:p>
    <w:tbl>
      <w:tblPr>
        <w:tblStyle w:val="TableGrid"/>
        <w:tblW w:w="9343" w:type="dxa"/>
        <w:tblInd w:w="8" w:type="dxa"/>
        <w:tblCellMar>
          <w:top w:w="9" w:type="dxa"/>
          <w:left w:w="110" w:type="dxa"/>
          <w:bottom w:w="0" w:type="dxa"/>
          <w:right w:w="115" w:type="dxa"/>
        </w:tblCellMar>
        <w:tblLook w:val="04A0" w:firstRow="1" w:lastRow="0" w:firstColumn="1" w:lastColumn="0" w:noHBand="0" w:noVBand="1"/>
      </w:tblPr>
      <w:tblGrid>
        <w:gridCol w:w="1323"/>
        <w:gridCol w:w="1340"/>
        <w:gridCol w:w="1340"/>
        <w:gridCol w:w="1340"/>
        <w:gridCol w:w="1320"/>
        <w:gridCol w:w="1340"/>
        <w:gridCol w:w="1340"/>
      </w:tblGrid>
      <w:tr w:rsidR="0053633E">
        <w:trPr>
          <w:trHeight w:val="498"/>
        </w:trPr>
        <w:tc>
          <w:tcPr>
            <w:tcW w:w="1323"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3" w:firstLine="0"/>
            </w:pPr>
            <w:r>
              <w:rPr>
                <w:b/>
                <w:sz w:val="18"/>
              </w:rPr>
              <w:t>Horizon</w:t>
            </w:r>
            <w:r>
              <w:t xml:space="preserve"> </w:t>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15" w:firstLine="0"/>
            </w:pPr>
            <w:r>
              <w:rPr>
                <w:b/>
                <w:sz w:val="18"/>
              </w:rPr>
              <w:t>Model</w:t>
            </w:r>
            <w:r>
              <w:t xml:space="preserve"> </w:t>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firstLine="0"/>
            </w:pPr>
            <w:r>
              <w:rPr>
                <w:b/>
                <w:sz w:val="18"/>
              </w:rPr>
              <w:t>Accuracy</w:t>
            </w:r>
            <w:r>
              <w:t xml:space="preserve"> </w:t>
            </w:r>
          </w:p>
        </w:tc>
        <w:tc>
          <w:tcPr>
            <w:tcW w:w="1340"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5" w:firstLine="0"/>
            </w:pPr>
            <w:r>
              <w:rPr>
                <w:b/>
                <w:sz w:val="18"/>
              </w:rPr>
              <w:t>Balanced Accuracy</w:t>
            </w:r>
            <w:r>
              <w:t xml:space="preserve"> </w:t>
            </w:r>
          </w:p>
        </w:tc>
        <w:tc>
          <w:tcPr>
            <w:tcW w:w="132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0" w:firstLine="0"/>
            </w:pPr>
            <w:r>
              <w:rPr>
                <w:b/>
                <w:sz w:val="18"/>
              </w:rPr>
              <w:t>Macro F1</w:t>
            </w:r>
            <w:r>
              <w:t xml:space="preserve"> </w:t>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15" w:firstLine="0"/>
            </w:pPr>
            <w:r>
              <w:rPr>
                <w:b/>
                <w:sz w:val="18"/>
              </w:rPr>
              <w:t>Log Loss</w:t>
            </w:r>
            <w:r>
              <w:t xml:space="preserve"> </w:t>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firstLine="0"/>
            </w:pPr>
            <w:r>
              <w:rPr>
                <w:b/>
                <w:sz w:val="18"/>
              </w:rPr>
              <w:t>Brier Score</w:t>
            </w:r>
            <w:r>
              <w:t xml:space="preserve"> </w:t>
            </w:r>
          </w:p>
        </w:tc>
      </w:tr>
      <w:tr w:rsidR="0053633E">
        <w:trPr>
          <w:trHeight w:val="483"/>
        </w:trPr>
        <w:tc>
          <w:tcPr>
            <w:tcW w:w="13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7-day</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41" w:line="259" w:lineRule="auto"/>
              <w:ind w:left="15" w:firstLine="0"/>
            </w:pPr>
            <w:r>
              <w:rPr>
                <w:sz w:val="18"/>
              </w:rPr>
              <w:t xml:space="preserve">Logistic </w:t>
            </w:r>
          </w:p>
          <w:p w:rsidR="0053633E" w:rsidRDefault="00BD38B1">
            <w:pPr>
              <w:spacing w:after="0" w:line="259" w:lineRule="auto"/>
              <w:ind w:left="15" w:firstLine="0"/>
            </w:pPr>
            <w:r>
              <w:rPr>
                <w:sz w:val="18"/>
              </w:rPr>
              <w:t>Regression</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5" w:firstLine="0"/>
            </w:pPr>
            <w:r>
              <w:rPr>
                <w:sz w:val="18"/>
              </w:rPr>
              <w:t>1.0000</w:t>
            </w:r>
            <w:r>
              <w:t xml:space="preserve"> </w:t>
            </w:r>
          </w:p>
        </w:tc>
        <w:tc>
          <w:tcPr>
            <w:tcW w:w="13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15" w:firstLine="0"/>
            </w:pPr>
            <w:r>
              <w:rPr>
                <w:sz w:val="18"/>
              </w:rPr>
              <w:t>2.5922</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0.0121</w:t>
            </w:r>
            <w:r>
              <w:t xml:space="preserve"> </w:t>
            </w:r>
          </w:p>
        </w:tc>
      </w:tr>
      <w:tr w:rsidR="0053633E">
        <w:trPr>
          <w:trHeight w:val="500"/>
        </w:trPr>
        <w:tc>
          <w:tcPr>
            <w:tcW w:w="13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7-day</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Random Forest</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5" w:firstLine="0"/>
            </w:pPr>
            <w:r>
              <w:rPr>
                <w:sz w:val="18"/>
              </w:rPr>
              <w:t>1.0000</w:t>
            </w:r>
            <w:r>
              <w:t xml:space="preserve"> </w:t>
            </w:r>
          </w:p>
        </w:tc>
        <w:tc>
          <w:tcPr>
            <w:tcW w:w="13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15" w:firstLine="0"/>
            </w:pPr>
            <w:r>
              <w:rPr>
                <w:sz w:val="18"/>
              </w:rPr>
              <w:t>3.8746</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0.0035</w:t>
            </w:r>
            <w:r>
              <w:t xml:space="preserve"> </w:t>
            </w:r>
          </w:p>
        </w:tc>
      </w:tr>
      <w:tr w:rsidR="0053633E">
        <w:trPr>
          <w:trHeight w:val="260"/>
        </w:trPr>
        <w:tc>
          <w:tcPr>
            <w:tcW w:w="13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7-day</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XGBoost</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5" w:firstLine="0"/>
            </w:pPr>
            <w:r>
              <w:rPr>
                <w:sz w:val="18"/>
              </w:rPr>
              <w:t>1.0000</w:t>
            </w:r>
            <w:r>
              <w:t xml:space="preserve"> </w:t>
            </w:r>
          </w:p>
        </w:tc>
        <w:tc>
          <w:tcPr>
            <w:tcW w:w="13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4.7543</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firstLine="0"/>
            </w:pPr>
            <w:r>
              <w:rPr>
                <w:sz w:val="18"/>
              </w:rPr>
              <w:t>0.0002</w:t>
            </w:r>
            <w:r>
              <w:t xml:space="preserve"> </w:t>
            </w:r>
          </w:p>
        </w:tc>
      </w:tr>
      <w:tr w:rsidR="0053633E">
        <w:trPr>
          <w:trHeight w:val="500"/>
        </w:trPr>
        <w:tc>
          <w:tcPr>
            <w:tcW w:w="13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14-day</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41" w:line="259" w:lineRule="auto"/>
              <w:ind w:left="15" w:firstLine="0"/>
            </w:pPr>
            <w:r>
              <w:rPr>
                <w:sz w:val="18"/>
              </w:rPr>
              <w:t xml:space="preserve">Logistic </w:t>
            </w:r>
          </w:p>
          <w:p w:rsidR="0053633E" w:rsidRDefault="00BD38B1">
            <w:pPr>
              <w:spacing w:after="0" w:line="259" w:lineRule="auto"/>
              <w:ind w:left="15" w:firstLine="0"/>
            </w:pPr>
            <w:r>
              <w:rPr>
                <w:sz w:val="18"/>
              </w:rPr>
              <w:t>Regression</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5" w:firstLine="0"/>
            </w:pPr>
            <w:r>
              <w:rPr>
                <w:sz w:val="18"/>
              </w:rPr>
              <w:t>1.0000</w:t>
            </w:r>
            <w:r>
              <w:t xml:space="preserve"> </w:t>
            </w:r>
          </w:p>
        </w:tc>
        <w:tc>
          <w:tcPr>
            <w:tcW w:w="13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15" w:firstLine="0"/>
            </w:pPr>
            <w:r>
              <w:rPr>
                <w:sz w:val="18"/>
              </w:rPr>
              <w:t>4.3428</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0.0004</w:t>
            </w:r>
            <w:r>
              <w:t xml:space="preserve"> </w:t>
            </w:r>
          </w:p>
        </w:tc>
      </w:tr>
      <w:tr w:rsidR="0053633E">
        <w:trPr>
          <w:trHeight w:val="500"/>
        </w:trPr>
        <w:tc>
          <w:tcPr>
            <w:tcW w:w="13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14-day</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Random Forest</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5" w:firstLine="0"/>
            </w:pPr>
            <w:r>
              <w:rPr>
                <w:sz w:val="18"/>
              </w:rPr>
              <w:t>1.0000</w:t>
            </w:r>
            <w:r>
              <w:t xml:space="preserve"> </w:t>
            </w:r>
          </w:p>
        </w:tc>
        <w:tc>
          <w:tcPr>
            <w:tcW w:w="13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15" w:firstLine="0"/>
            </w:pPr>
            <w:r>
              <w:rPr>
                <w:sz w:val="18"/>
              </w:rPr>
              <w:t>3.6105</w:t>
            </w:r>
            <w:r>
              <w:t xml:space="preserve"> </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0.0021</w:t>
            </w:r>
            <w:r>
              <w:t xml:space="preserve"> </w:t>
            </w:r>
          </w:p>
        </w:tc>
      </w:tr>
      <w:tr w:rsidR="0053633E">
        <w:trPr>
          <w:trHeight w:val="260"/>
        </w:trPr>
        <w:tc>
          <w:tcPr>
            <w:tcW w:w="13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14-day</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XGBoost</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5" w:firstLine="0"/>
            </w:pPr>
            <w:r>
              <w:rPr>
                <w:sz w:val="18"/>
              </w:rPr>
              <w:t>1.0000</w:t>
            </w:r>
            <w:r>
              <w:t xml:space="preserve"> </w:t>
            </w:r>
          </w:p>
        </w:tc>
        <w:tc>
          <w:tcPr>
            <w:tcW w:w="13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1.0000</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5.8187</w:t>
            </w:r>
            <w:r>
              <w:t xml:space="preserve"> </w:t>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firstLine="0"/>
            </w:pPr>
            <w:r>
              <w:rPr>
                <w:sz w:val="18"/>
              </w:rPr>
              <w:t>0.0000</w:t>
            </w:r>
            <w:r>
              <w:t xml:space="preserve"> </w:t>
            </w:r>
          </w:p>
        </w:tc>
      </w:tr>
    </w:tbl>
    <w:p w:rsidR="0053633E" w:rsidRDefault="00BD38B1">
      <w:pPr>
        <w:spacing w:after="136"/>
        <w:ind w:left="-5"/>
      </w:pPr>
      <w:r>
        <w:t xml:space="preserve">Evaluation metrics included Accuracy, Balanced Accuracy, Macro F1, Log Loss, and Brier Score. </w:t>
      </w:r>
      <w:r>
        <w:t xml:space="preserve">Accuracy measures overall correctness. Balanced Accuracy gives equal importance to each class. Macro F1 balances precision and recall across the three risk classes. Log Loss and Brier Score assess the quality of probability predictions, where lower values </w:t>
      </w:r>
      <w:r>
        <w:t xml:space="preserve">are better. </w:t>
      </w:r>
    </w:p>
    <w:p w:rsidR="0053633E" w:rsidRDefault="00BD38B1">
      <w:pPr>
        <w:pStyle w:val="Heading2"/>
      </w:pPr>
      <w:r>
        <w:t>Evaluation caveat</w:t>
      </w:r>
      <w:r>
        <w:rPr>
          <w:b w:val="0"/>
          <w:color w:val="000000"/>
          <w:sz w:val="22"/>
        </w:rPr>
        <w:t xml:space="preserve"> </w:t>
      </w:r>
    </w:p>
    <w:p w:rsidR="0053633E" w:rsidRDefault="00BD38B1">
      <w:pPr>
        <w:pBdr>
          <w:top w:val="single" w:sz="8" w:space="0" w:color="DADCE0"/>
          <w:left w:val="single" w:sz="8" w:space="0" w:color="DADCE0"/>
          <w:bottom w:val="single" w:sz="8" w:space="0" w:color="DADCE0"/>
          <w:right w:val="single" w:sz="8" w:space="0" w:color="DADCE0"/>
        </w:pBdr>
        <w:shd w:val="clear" w:color="auto" w:fill="F4F6F9"/>
        <w:spacing w:after="94"/>
        <w:ind w:left="120" w:firstLine="0"/>
      </w:pPr>
      <w:r>
        <w:rPr>
          <w:sz w:val="20"/>
        </w:rPr>
        <w:t>The most recent chronological test window contains only the Low class. Therefore, the perfect accuracy and Macro F1 in this specific window should not be treated as full proof that the model handles every risk condition. For</w:t>
      </w:r>
      <w:r>
        <w:rPr>
          <w:sz w:val="20"/>
        </w:rPr>
        <w:t xml:space="preserve"> a stronger evaluation, rolling-origin backtests and future unseen data should be used to test performance across periods with more class variation.</w:t>
      </w:r>
      <w:r>
        <w:t xml:space="preserve"> </w:t>
      </w:r>
    </w:p>
    <w:p w:rsidR="0053633E" w:rsidRDefault="00BD38B1">
      <w:pPr>
        <w:spacing w:after="422" w:line="259" w:lineRule="auto"/>
        <w:ind w:left="0" w:firstLine="0"/>
      </w:pPr>
      <w:r>
        <w:t xml:space="preserve"> </w:t>
      </w:r>
    </w:p>
    <w:p w:rsidR="0053633E" w:rsidRDefault="00BD38B1">
      <w:pPr>
        <w:pStyle w:val="Heading1"/>
        <w:ind w:left="342" w:hanging="357"/>
      </w:pPr>
      <w:r>
        <w:t xml:space="preserve">Why Logistic Regression Was Selected </w:t>
      </w:r>
    </w:p>
    <w:p w:rsidR="0053633E" w:rsidRDefault="00BD38B1">
      <w:pPr>
        <w:spacing w:after="123"/>
        <w:ind w:left="-5"/>
      </w:pPr>
      <w:r>
        <w:t>Logistic Regression was selected as the final MVP model because it</w:t>
      </w:r>
      <w:r>
        <w:t xml:space="preserve"> achieved competitive headline performance while remaining simpler, faster, and easier to explain than Random Forest and XGBoost. For a decision-support system, interpretability matters because users and evaluators should understand why a risk class was re</w:t>
      </w:r>
      <w:r>
        <w:t xml:space="preserve">turned. </w:t>
      </w:r>
    </w:p>
    <w:p w:rsidR="0053633E" w:rsidRDefault="00BD38B1">
      <w:pPr>
        <w:numPr>
          <w:ilvl w:val="0"/>
          <w:numId w:val="1"/>
        </w:numPr>
        <w:ind w:hanging="360"/>
      </w:pPr>
      <w:r>
        <w:t xml:space="preserve">It is easier to defend academically because feature influence can be explained more clearly. </w:t>
      </w:r>
    </w:p>
    <w:p w:rsidR="0053633E" w:rsidRDefault="00BD38B1">
      <w:pPr>
        <w:numPr>
          <w:ilvl w:val="0"/>
          <w:numId w:val="1"/>
        </w:numPr>
        <w:ind w:hanging="360"/>
      </w:pPr>
      <w:r>
        <w:t xml:space="preserve">It is faster and simpler to deploy inside a FastAPI backend. </w:t>
      </w:r>
    </w:p>
    <w:p w:rsidR="0053633E" w:rsidRDefault="00BD38B1">
      <w:pPr>
        <w:numPr>
          <w:ilvl w:val="0"/>
          <w:numId w:val="1"/>
        </w:numPr>
        <w:ind w:hanging="360"/>
      </w:pPr>
      <w:r>
        <w:t xml:space="preserve">It produced strong results in the current training run. </w:t>
      </w:r>
    </w:p>
    <w:p w:rsidR="0053633E" w:rsidRDefault="00BD38B1">
      <w:pPr>
        <w:numPr>
          <w:ilvl w:val="0"/>
          <w:numId w:val="1"/>
        </w:numPr>
        <w:spacing w:after="419"/>
        <w:ind w:hanging="360"/>
      </w:pPr>
      <w:r>
        <w:t>It is appropriate for the MVP beca</w:t>
      </w:r>
      <w:r>
        <w:t xml:space="preserve">use complex models did not show a clear practical advantage in the current comparison. </w:t>
      </w:r>
    </w:p>
    <w:p w:rsidR="0053633E" w:rsidRDefault="00BD38B1">
      <w:pPr>
        <w:pStyle w:val="Heading1"/>
        <w:ind w:left="374" w:hanging="389"/>
      </w:pPr>
      <w:r>
        <w:t xml:space="preserve">Probability Prediction and Confidence Score </w:t>
      </w:r>
    </w:p>
    <w:p w:rsidR="0053633E" w:rsidRDefault="00BD38B1">
      <w:pPr>
        <w:ind w:left="-5"/>
      </w:pPr>
      <w:r>
        <w:t>The model does not only return a class label. It also returns class probabilities for Low, Medium, and High risk. The confi</w:t>
      </w:r>
      <w:r>
        <w:t xml:space="preserve">dence score is attached to the prediction by taking the probability assigned to the predicted top class. </w:t>
      </w:r>
    </w:p>
    <w:tbl>
      <w:tblPr>
        <w:tblStyle w:val="TableGrid"/>
        <w:tblW w:w="9360" w:type="dxa"/>
        <w:tblInd w:w="8" w:type="dxa"/>
        <w:tblCellMar>
          <w:top w:w="5" w:type="dxa"/>
          <w:left w:w="110" w:type="dxa"/>
          <w:bottom w:w="0" w:type="dxa"/>
          <w:right w:w="115" w:type="dxa"/>
        </w:tblCellMar>
        <w:tblLook w:val="04A0" w:firstRow="1" w:lastRow="0" w:firstColumn="1" w:lastColumn="0" w:noHBand="0" w:noVBand="1"/>
      </w:tblPr>
      <w:tblGrid>
        <w:gridCol w:w="4683"/>
        <w:gridCol w:w="4678"/>
      </w:tblGrid>
      <w:tr w:rsidR="0053633E">
        <w:trPr>
          <w:trHeight w:val="258"/>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t xml:space="preserve"> </w:t>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trHeight w:val="243"/>
        </w:trPr>
        <w:tc>
          <w:tcPr>
            <w:tcW w:w="468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Probability output</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Example: Low = 0.92, Medium = 0.06, High = 0.02.</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Predicted class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The class with the highest probability, </w:t>
            </w:r>
            <w:r>
              <w:rPr>
                <w:sz w:val="18"/>
              </w:rPr>
              <w:t>for example Low.</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Confidence score</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probability of the predicted top class, for example 92%.</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Why it matters</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It helps the user see whether the model is confident or whether the case is borderline.</w:t>
            </w:r>
            <w:r>
              <w:t xml:space="preserve"> </w:t>
            </w:r>
          </w:p>
        </w:tc>
      </w:tr>
    </w:tbl>
    <w:p w:rsidR="0053633E" w:rsidRDefault="00BD38B1">
      <w:pPr>
        <w:spacing w:after="419"/>
        <w:ind w:left="-5"/>
      </w:pPr>
      <w:r>
        <w:t xml:space="preserve">For example, if a 10,000 USD payment receives Low </w:t>
      </w:r>
      <w:r>
        <w:t xml:space="preserve">risk with 92% confidence, the app displays Low as the main result and also shows the probability distribution. This makes the prediction more transparent than a single black-box label. </w:t>
      </w:r>
    </w:p>
    <w:p w:rsidR="0053633E" w:rsidRDefault="00BD38B1">
      <w:pPr>
        <w:pStyle w:val="Heading1"/>
        <w:ind w:left="359" w:hanging="374"/>
      </w:pPr>
      <w:r>
        <w:t xml:space="preserve">App Workflow and Decision Support </w:t>
      </w:r>
    </w:p>
    <w:p w:rsidR="0053633E" w:rsidRDefault="00BD38B1">
      <w:pPr>
        <w:numPr>
          <w:ilvl w:val="0"/>
          <w:numId w:val="2"/>
        </w:numPr>
        <w:ind w:hanging="360"/>
      </w:pPr>
      <w:r>
        <w:t>The dashboard shows the latest USD/</w:t>
      </w:r>
      <w:r>
        <w:t xml:space="preserve">RWF rate and data freshness. </w:t>
      </w:r>
    </w:p>
    <w:p w:rsidR="0053633E" w:rsidRDefault="00BD38B1">
      <w:pPr>
        <w:numPr>
          <w:ilvl w:val="0"/>
          <w:numId w:val="2"/>
        </w:numPr>
        <w:ind w:hanging="360"/>
      </w:pPr>
      <w:r>
        <w:t xml:space="preserve">The user opens Payment Check and enters a supplier invoice amount in USD. </w:t>
      </w:r>
    </w:p>
    <w:p w:rsidR="0053633E" w:rsidRDefault="00BD38B1">
      <w:pPr>
        <w:numPr>
          <w:ilvl w:val="0"/>
          <w:numId w:val="2"/>
        </w:numPr>
        <w:ind w:hanging="360"/>
      </w:pPr>
      <w:r>
        <w:t xml:space="preserve">The user selects a 7-day or 14-day horizon. </w:t>
      </w:r>
    </w:p>
    <w:p w:rsidR="0053633E" w:rsidRDefault="00BD38B1">
      <w:pPr>
        <w:numPr>
          <w:ilvl w:val="0"/>
          <w:numId w:val="2"/>
        </w:numPr>
        <w:ind w:hanging="360"/>
      </w:pPr>
      <w:r>
        <w:t xml:space="preserve">The frontend sends the request to the FastAPI /api/predict-risk endpoint. </w:t>
      </w:r>
    </w:p>
    <w:p w:rsidR="0053633E" w:rsidRDefault="00BD38B1">
      <w:pPr>
        <w:numPr>
          <w:ilvl w:val="0"/>
          <w:numId w:val="2"/>
        </w:numPr>
        <w:ind w:hanging="360"/>
      </w:pPr>
      <w:r>
        <w:t xml:space="preserve">The backend loads the latest </w:t>
      </w:r>
      <w:r>
        <w:t xml:space="preserve">feature row and selected trained model. </w:t>
      </w:r>
    </w:p>
    <w:p w:rsidR="0053633E" w:rsidRDefault="00BD38B1">
      <w:pPr>
        <w:numPr>
          <w:ilvl w:val="0"/>
          <w:numId w:val="2"/>
        </w:numPr>
        <w:ind w:hanging="360"/>
      </w:pPr>
      <w:r>
        <w:t xml:space="preserve">The model returns a risk class, probabilities, and confidence score. </w:t>
      </w:r>
    </w:p>
    <w:p w:rsidR="0053633E" w:rsidRDefault="00BD38B1">
      <w:pPr>
        <w:numPr>
          <w:ilvl w:val="0"/>
          <w:numId w:val="2"/>
        </w:numPr>
        <w:ind w:hanging="360"/>
      </w:pPr>
      <w:r>
        <w:t xml:space="preserve">The app calculates estimated RWF cost and possible extra cost. </w:t>
      </w:r>
    </w:p>
    <w:p w:rsidR="0053633E" w:rsidRDefault="00BD38B1">
      <w:pPr>
        <w:numPr>
          <w:ilvl w:val="0"/>
          <w:numId w:val="2"/>
        </w:numPr>
        <w:spacing w:after="123"/>
        <w:ind w:hanging="360"/>
      </w:pPr>
      <w:r>
        <w:t>The app displays key drivers and turns the result into practical recommendations.</w:t>
      </w:r>
      <w:r>
        <w:t xml:space="preserve"> </w:t>
      </w:r>
    </w:p>
    <w:p w:rsidR="0053633E" w:rsidRDefault="00BD38B1">
      <w:pPr>
        <w:spacing w:after="419"/>
        <w:ind w:left="-5"/>
      </w:pPr>
      <w:r>
        <w:t xml:space="preserve">The recommendation logic translates model output into business actions. Low risk suggests normal monitoring. Medium risk suggests close monitoring and a buffer. High risk suggests stronger caution such as preparing a buffer, splitting payment, reviewing </w:t>
      </w:r>
      <w:r>
        <w:t xml:space="preserve">pricing, or considering earlier payment. </w:t>
      </w:r>
    </w:p>
    <w:p w:rsidR="0053633E" w:rsidRDefault="00BD38B1">
      <w:pPr>
        <w:pStyle w:val="Heading1"/>
        <w:spacing w:after="0"/>
        <w:ind w:left="498" w:hanging="513"/>
      </w:pPr>
      <w:r>
        <w:t xml:space="preserve">Assumptions, Limitations, and Future Work </w:t>
      </w:r>
    </w:p>
    <w:tbl>
      <w:tblPr>
        <w:tblStyle w:val="TableGrid"/>
        <w:tblW w:w="9360" w:type="dxa"/>
        <w:tblInd w:w="8" w:type="dxa"/>
        <w:tblCellMar>
          <w:top w:w="5" w:type="dxa"/>
          <w:left w:w="110" w:type="dxa"/>
          <w:bottom w:w="0" w:type="dxa"/>
          <w:right w:w="91" w:type="dxa"/>
        </w:tblCellMar>
        <w:tblLook w:val="04A0" w:firstRow="1" w:lastRow="0" w:firstColumn="1" w:lastColumn="0" w:noHBand="0" w:noVBand="1"/>
      </w:tblPr>
      <w:tblGrid>
        <w:gridCol w:w="2"/>
        <w:gridCol w:w="4681"/>
        <w:gridCol w:w="2"/>
        <w:gridCol w:w="4676"/>
        <w:gridCol w:w="2"/>
      </w:tblGrid>
      <w:tr w:rsidR="0053633E">
        <w:trPr>
          <w:gridAfter w:val="1"/>
          <w:trHeight w:val="259"/>
        </w:trPr>
        <w:tc>
          <w:tcPr>
            <w:tcW w:w="4683" w:type="dxa"/>
            <w:gridSpan w:val="2"/>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gridAfter w:val="1"/>
          <w:trHeight w:val="501"/>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Assumption 1</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Recent exchange-rate behavior can help classify short-term risk.</w:t>
            </w:r>
            <w:r>
              <w:t xml:space="preserve"> </w:t>
            </w:r>
          </w:p>
        </w:tc>
      </w:tr>
      <w:tr w:rsidR="0053633E">
        <w:trPr>
          <w:gridAfter w:val="1"/>
          <w:trHeight w:val="48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Assumption 2</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USD/RWF is a useful MVP scope because many importers pay</w:t>
            </w:r>
            <w:r>
              <w:rPr>
                <w:sz w:val="18"/>
              </w:rPr>
              <w:t xml:space="preserve"> suppliers in USD.</w:t>
            </w:r>
            <w:r>
              <w:t xml:space="preserve"> </w:t>
            </w:r>
          </w:p>
        </w:tc>
      </w:tr>
      <w:tr w:rsidR="0053633E">
        <w:trPr>
          <w:gridAfter w:val="1"/>
          <w:trHeight w:val="50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Assumption 3</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Forward-filled non-posting days are acceptable for creating a continuous daily calendar.</w:t>
            </w:r>
            <w:r>
              <w:t xml:space="preserve"> </w:t>
            </w:r>
          </w:p>
        </w:tc>
      </w:tr>
      <w:tr w:rsidR="0053633E">
        <w:trPr>
          <w:gridAfter w:val="1"/>
          <w:trHeight w:val="260"/>
        </w:trPr>
        <w:tc>
          <w:tcPr>
            <w:tcW w:w="4683"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Limitation 1</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current MVP supports USD/RWF only.</w:t>
            </w:r>
            <w:r>
              <w:t xml:space="preserve"> </w:t>
            </w:r>
          </w:p>
        </w:tc>
      </w:tr>
      <w:tr w:rsidR="0053633E">
        <w:trPr>
          <w:gridBefore w:val="1"/>
          <w:trHeight w:val="72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Limitation 2</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The latest chronological test window contains only the Low </w:t>
            </w:r>
            <w:r>
              <w:rPr>
                <w:sz w:val="18"/>
              </w:rPr>
              <w:t>class, so more diverse backtesting is required.</w:t>
            </w:r>
            <w:r>
              <w:t xml:space="preserve"> </w:t>
            </w:r>
          </w:p>
        </w:tc>
      </w:tr>
      <w:tr w:rsidR="0053633E">
        <w:trPr>
          <w:gridBefore w:val="1"/>
          <w:trHeight w:val="50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Limitation 3</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tool is decision support, not guaranteed financial advice or forex trading advice.</w:t>
            </w:r>
            <w:r>
              <w:t xml:space="preserve"> </w:t>
            </w:r>
          </w:p>
        </w:tc>
      </w:tr>
      <w:tr w:rsidR="0053633E">
        <w:trPr>
          <w:gridBefore w:val="1"/>
          <w:trHeight w:val="74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Future work</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Add EUR, GBP, KES, UGX, and CNY; automate dataset refresh; retrain periodically; improve </w:t>
            </w:r>
            <w:r>
              <w:rPr>
                <w:sz w:val="18"/>
              </w:rPr>
              <w:t>probability calibration and user alerts.</w:t>
            </w:r>
            <w:r>
              <w:t xml:space="preserve"> </w:t>
            </w:r>
          </w:p>
        </w:tc>
      </w:tr>
    </w:tbl>
    <w:p w:rsidR="0053633E" w:rsidRDefault="00BD38B1">
      <w:pPr>
        <w:pStyle w:val="Heading1"/>
        <w:ind w:left="410" w:hanging="425"/>
      </w:pPr>
      <w:r>
        <w:t xml:space="preserve">Repository and Installation Requirements </w:t>
      </w:r>
    </w:p>
    <w:p w:rsidR="0053633E" w:rsidRDefault="00BD38B1">
      <w:pPr>
        <w:spacing w:after="123"/>
        <w:ind w:left="-5"/>
      </w:pPr>
      <w:r>
        <w:t xml:space="preserve">To meet the technical submission rubric, the repository should be professional, reproducible, and easy for an evaluator to run. </w:t>
      </w:r>
    </w:p>
    <w:p w:rsidR="0053633E" w:rsidRDefault="00BD38B1">
      <w:pPr>
        <w:numPr>
          <w:ilvl w:val="0"/>
          <w:numId w:val="3"/>
        </w:numPr>
        <w:ind w:hanging="360"/>
      </w:pPr>
      <w:r>
        <w:t>Include a clear README with project summar</w:t>
      </w:r>
      <w:r>
        <w:t xml:space="preserve">y, problem statement, dataset description, model explanation, screenshots, demo link, and video link. </w:t>
      </w:r>
    </w:p>
    <w:p w:rsidR="0053633E" w:rsidRDefault="00BD38B1">
      <w:pPr>
        <w:numPr>
          <w:ilvl w:val="0"/>
          <w:numId w:val="3"/>
        </w:numPr>
        <w:ind w:hanging="360"/>
      </w:pPr>
      <w:r>
        <w:t xml:space="preserve">Provide installation commands such as pip install -r requirements.txt and python run_backend.py. </w:t>
      </w:r>
    </w:p>
    <w:p w:rsidR="0053633E" w:rsidRDefault="00BD38B1">
      <w:pPr>
        <w:numPr>
          <w:ilvl w:val="0"/>
          <w:numId w:val="3"/>
        </w:numPr>
        <w:ind w:hanging="360"/>
      </w:pPr>
      <w:r>
        <w:t xml:space="preserve">Document environment variables if any are required. </w:t>
      </w:r>
    </w:p>
    <w:p w:rsidR="0053633E" w:rsidRDefault="00BD38B1">
      <w:pPr>
        <w:numPr>
          <w:ilvl w:val="0"/>
          <w:numId w:val="3"/>
        </w:numPr>
        <w:ind w:hanging="360"/>
      </w:pPr>
      <w:r>
        <w:t xml:space="preserve">Use meaningful commits such as data preparation, feature engineering, model training, API integration, frontend implementation, and feedback form. </w:t>
      </w:r>
    </w:p>
    <w:p w:rsidR="0053633E" w:rsidRDefault="00BD38B1">
      <w:pPr>
        <w:numPr>
          <w:ilvl w:val="0"/>
          <w:numId w:val="3"/>
        </w:numPr>
        <w:ind w:hanging="360"/>
      </w:pPr>
      <w:r>
        <w:t xml:space="preserve">Include folders for data, notebooks, models, backend, frontend, reports, and screenshots. </w:t>
      </w:r>
    </w:p>
    <w:p w:rsidR="0053633E" w:rsidRDefault="00BD38B1">
      <w:pPr>
        <w:numPr>
          <w:ilvl w:val="0"/>
          <w:numId w:val="3"/>
        </w:numPr>
        <w:spacing w:after="122"/>
        <w:ind w:hanging="360"/>
      </w:pPr>
      <w:r>
        <w:t xml:space="preserve">Avoid committing </w:t>
      </w:r>
      <w:r>
        <w:t xml:space="preserve">secrets, API keys, private participant data, or unnecessary cache files. </w:t>
      </w:r>
    </w:p>
    <w:p w:rsidR="0053633E" w:rsidRDefault="00BD38B1">
      <w:pPr>
        <w:spacing w:after="125" w:line="259" w:lineRule="auto"/>
        <w:ind w:left="0" w:firstLine="0"/>
      </w:pPr>
      <w:r>
        <w:t xml:space="preserve"> </w:t>
      </w:r>
    </w:p>
    <w:p w:rsidR="0053633E" w:rsidRDefault="00BD38B1">
      <w:pPr>
        <w:spacing w:after="125" w:line="259" w:lineRule="auto"/>
        <w:ind w:left="0" w:firstLine="0"/>
      </w:pPr>
      <w:r>
        <w:t xml:space="preserve"> </w:t>
      </w:r>
    </w:p>
    <w:p w:rsidR="0053633E" w:rsidRDefault="00BD38B1">
      <w:pPr>
        <w:spacing w:after="0" w:line="259" w:lineRule="auto"/>
        <w:ind w:left="360" w:firstLine="0"/>
      </w:pPr>
      <w:r>
        <w:t xml:space="preserve"> </w:t>
      </w:r>
    </w:p>
    <w:sectPr w:rsidR="0053633E">
      <w:pgSz w:w="12240" w:h="15840"/>
      <w:pgMar w:top="1440" w:right="1450" w:bottom="163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682559"/>
    <w:multiLevelType w:val="hybridMultilevel"/>
    <w:tmpl w:val="11D8102E"/>
    <w:lvl w:ilvl="0" w:tplc="14FC4CF0">
      <w:start w:val="1"/>
      <w:numFmt w:val="decimal"/>
      <w:pStyle w:val="Heading1"/>
      <w:lvlText w:val="%1."/>
      <w:lvlJc w:val="left"/>
      <w:pPr>
        <w:ind w:left="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1" w:tplc="ED6E2D06">
      <w:start w:val="1"/>
      <w:numFmt w:val="lowerLetter"/>
      <w:lvlText w:val="%2"/>
      <w:lvlJc w:val="left"/>
      <w:pPr>
        <w:ind w:left="108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2" w:tplc="B4F0D850">
      <w:start w:val="1"/>
      <w:numFmt w:val="lowerRoman"/>
      <w:lvlText w:val="%3"/>
      <w:lvlJc w:val="left"/>
      <w:pPr>
        <w:ind w:left="180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3" w:tplc="FFF2A7A6">
      <w:start w:val="1"/>
      <w:numFmt w:val="decimal"/>
      <w:lvlText w:val="%4"/>
      <w:lvlJc w:val="left"/>
      <w:pPr>
        <w:ind w:left="252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4" w:tplc="20CA3C84">
      <w:start w:val="1"/>
      <w:numFmt w:val="lowerLetter"/>
      <w:lvlText w:val="%5"/>
      <w:lvlJc w:val="left"/>
      <w:pPr>
        <w:ind w:left="324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5" w:tplc="EC08823C">
      <w:start w:val="1"/>
      <w:numFmt w:val="lowerRoman"/>
      <w:lvlText w:val="%6"/>
      <w:lvlJc w:val="left"/>
      <w:pPr>
        <w:ind w:left="396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6" w:tplc="C70A4828">
      <w:start w:val="1"/>
      <w:numFmt w:val="decimal"/>
      <w:lvlText w:val="%7"/>
      <w:lvlJc w:val="left"/>
      <w:pPr>
        <w:ind w:left="468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7" w:tplc="A1A49DD8">
      <w:start w:val="1"/>
      <w:numFmt w:val="lowerLetter"/>
      <w:lvlText w:val="%8"/>
      <w:lvlJc w:val="left"/>
      <w:pPr>
        <w:ind w:left="540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8" w:tplc="F880F0A2">
      <w:start w:val="1"/>
      <w:numFmt w:val="lowerRoman"/>
      <w:lvlText w:val="%9"/>
      <w:lvlJc w:val="left"/>
      <w:pPr>
        <w:ind w:left="612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abstractNum>
  <w:abstractNum w:abstractNumId="1" w15:restartNumberingAfterBreak="0">
    <w:nsid w:val="2D8D28F5"/>
    <w:multiLevelType w:val="hybridMultilevel"/>
    <w:tmpl w:val="FC609D8C"/>
    <w:lvl w:ilvl="0" w:tplc="A8B8410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EAC66B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A84AC9C">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F1C961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9322BC0">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64EE62E">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074621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BE3F22">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B69BB0">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0366850"/>
    <w:multiLevelType w:val="hybridMultilevel"/>
    <w:tmpl w:val="4342BDAA"/>
    <w:lvl w:ilvl="0" w:tplc="9BB84BD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38A8558">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59A5F8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CC69C9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352F2A8">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0320E32">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2BE2E7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90BB84">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F885048">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C26775E"/>
    <w:multiLevelType w:val="hybridMultilevel"/>
    <w:tmpl w:val="378C81D4"/>
    <w:lvl w:ilvl="0" w:tplc="310C04F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2F201B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6703E2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718A0C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2462518">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004A308">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E7805D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18469BE">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BEEBB00">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633E"/>
    <w:rsid w:val="0053633E"/>
    <w:rsid w:val="00BD3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docId w15:val="{3D0A0668-18D8-43AB-9F01-078D875FB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3" w:line="262" w:lineRule="auto"/>
      <w:ind w:left="10" w:hanging="10"/>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4"/>
      </w:numPr>
      <w:spacing w:after="30"/>
      <w:ind w:left="10" w:hanging="10"/>
      <w:outlineLvl w:val="0"/>
    </w:pPr>
    <w:rPr>
      <w:rFonts w:ascii="Calibri" w:eastAsia="Calibri" w:hAnsi="Calibri" w:cs="Calibri"/>
      <w:b/>
      <w:color w:val="2E74B5"/>
      <w:sz w:val="32"/>
    </w:rPr>
  </w:style>
  <w:style w:type="paragraph" w:styleId="Heading2">
    <w:name w:val="heading 2"/>
    <w:next w:val="Normal"/>
    <w:link w:val="Heading2Char"/>
    <w:uiPriority w:val="9"/>
    <w:unhideWhenUsed/>
    <w:qFormat/>
    <w:pPr>
      <w:keepNext/>
      <w:keepLines/>
      <w:pBdr>
        <w:top w:val="single" w:sz="8" w:space="0" w:color="DADCE0"/>
        <w:left w:val="single" w:sz="8" w:space="0" w:color="DADCE0"/>
        <w:bottom w:val="single" w:sz="8" w:space="0" w:color="DADCE0"/>
        <w:right w:val="single" w:sz="8" w:space="0" w:color="DADCE0"/>
      </w:pBdr>
      <w:shd w:val="clear" w:color="auto" w:fill="F4F6F9"/>
      <w:spacing w:after="0"/>
      <w:ind w:left="120"/>
      <w:outlineLvl w:val="1"/>
    </w:pPr>
    <w:rPr>
      <w:rFonts w:ascii="Calibri" w:eastAsia="Calibri" w:hAnsi="Calibri" w:cs="Calibri"/>
      <w:b/>
      <w:color w:val="9B1C1C"/>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9B1C1C"/>
      <w:sz w:val="20"/>
    </w:rPr>
  </w:style>
  <w:style w:type="character" w:customStyle="1" w:styleId="Heading1Char">
    <w:name w:val="Heading 1 Char"/>
    <w:link w:val="Heading1"/>
    <w:rPr>
      <w:rFonts w:ascii="Calibri" w:eastAsia="Calibri" w:hAnsi="Calibri" w:cs="Calibri"/>
      <w:b/>
      <w:color w:val="2E74B5"/>
      <w:sz w:val="3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1511</Words>
  <Characters>9056</Characters>
  <Application>Microsoft Office Word</Application>
  <DocSecurity>4</DocSecurity>
  <Lines>295</Lines>
  <Paragraphs>205</Paragraphs>
  <ScaleCrop>false</ScaleCrop>
  <Company/>
  <LinksUpToDate>false</LinksUpToDate>
  <CharactersWithSpaces>10578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FXGuard AI_Technical_Report By Liliane Gikundiro</dc:title>
  <dc:subject/>
  <dc:creator>Prime core</dc:creator>
  <cp:keywords/>
  <cp:lastModifiedBy>Prime core</cp:lastModifiedBy>
  <cp:revision>2</cp:revision>
  <dcterms:created xsi:type="dcterms:W3CDTF">2026-07-19T18:11:00Z</dcterms:created>
  <dcterms:modified xsi:type="dcterms:W3CDTF">2026-07-19T18:11:00Z</dcterms:modified>
</cp:coreProperties>
</file>