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3633E" w:rsidRDefault="00BD38B1">
      <w:pPr>
        <w:spacing w:after="0" w:line="259" w:lineRule="auto"/>
        <w:ind w:firstLine="0"/>
        <w:jc w:val="center"/>
      </w:pPr>
      <w:bookmarkStart w:id="0" w:name="_GoBack"/>
      <w:bookmarkEnd w:id="0"/>
      <w:r>
        <w:rPr>
          <w:b/>
          <w:color w:val="10201C"/>
          <w:sz w:val="48"/>
        </w:rPr>
        <w:t>FXGuard AI Technical Report</w:t>
      </w:r>
      <w:r>
        <w:t xml:space="preserve"> </w:t>
      </w:r>
    </w:p>
    <w:p w:rsidR="0053633E" w:rsidRDefault="00BD38B1">
      <w:pPr>
        <w:spacing w:after="61" w:line="265" w:lineRule="auto"/>
        <w:ind w:left="0" w:firstLine="0"/>
        <w:jc w:val="center"/>
      </w:pPr>
      <w:r>
        <w:rPr>
          <w:color w:val="5A6460"/>
          <w:sz w:val="26"/>
        </w:rPr>
        <w:t>Multicurrency exchange-rate risk forecasting and decision-support prototype</w:t>
      </w:r>
      <w:r/>
    </w:p>
    <w:p w:rsidR="0053633E" w:rsidRDefault="00BD38B1">
      <w:pPr>
        <w:spacing w:after="0" w:line="259" w:lineRule="auto"/>
        <w:ind w:left="0" w:firstLine="0"/>
        <w:jc w:val="center"/>
      </w:pPr>
      <w:r>
        <w:rPr>
          <w:color w:val="5A6460"/>
          <w:sz w:val="20"/>
        </w:rPr>
        <w:t>Prepared by: Liliane Gikundiro | Software Engineering and Machine Learning | African Leadership University</w:t>
      </w:r>
      <w:r>
        <w:t xml:space="preserve"> </w:t>
      </w:r>
    </w:p>
    <w:tbl>
      <w:tblPr>
        <w:tblStyle w:val="TableGrid"/>
        <w:tblW w:w="9360" w:type="dxa"/>
        <w:tblInd w:w="8" w:type="dxa"/>
        <w:tblCellMar>
          <w:top w:w="21" w:type="dxa"/>
          <w:left w:w="113" w:type="dxa"/>
          <w:bottom w:w="0" w:type="dxa"/>
          <w:right w:w="115" w:type="dxa"/>
        </w:tblCellMar>
        <w:tblLook w:val="04A0" w:firstRow="1" w:lastRow="0" w:firstColumn="1" w:lastColumn="0" w:noHBand="0" w:noVBand="1"/>
      </w:tblPr>
      <w:tblGrid>
        <w:gridCol w:w="9360"/>
      </w:tblGrid>
      <w:tr w:rsidR="0053633E">
        <w:trPr>
          <w:trHeight w:val="699"/>
        </w:trPr>
        <w:tc>
          <w:tcPr>
            <w:tcW w:w="9360" w:type="dxa"/>
            <w:tcBorders>
              <w:top w:val="single" w:sz="8" w:space="0" w:color="DADCE0"/>
              <w:left w:val="single" w:sz="8" w:space="0" w:color="DADCE0"/>
              <w:bottom w:val="single" w:sz="8" w:space="0" w:color="DADCE0"/>
              <w:right w:val="single" w:sz="8" w:space="0" w:color="DADCE0"/>
            </w:tcBorders>
            <w:shd w:val="clear" w:color="auto" w:fill="F4F6F9"/>
          </w:tcPr>
          <w:p w:rsidR="0053633E" w:rsidRDefault="00BD38B1">
            <w:pPr>
              <w:spacing w:after="5" w:line="259" w:lineRule="auto"/>
              <w:ind w:left="0" w:firstLine="0"/>
            </w:pPr>
            <w:r>
              <w:t xml:space="preserve"> </w:t>
            </w:r>
          </w:p>
        </w:tc>
      </w:tr>
    </w:tbl>
    <w:p w:rsidR="0053633E" w:rsidRDefault="00BD38B1">
      <w:pPr>
        <w:spacing w:after="422" w:line="259" w:lineRule="auto"/>
        <w:ind w:left="0" w:firstLine="0"/>
      </w:pPr>
      <w:r>
        <w:t xml:space="preserve"> </w:t>
      </w:r>
    </w:p>
    <w:p w:rsidR="0053633E" w:rsidRDefault="00BD38B1">
      <w:pPr>
        <w:pStyle w:val="Heading1"/>
        <w:ind w:left="285" w:hanging="300"/>
      </w:pPr>
      <w:r>
        <w:t xml:space="preserve">Project Overview </w:t>
      </w:r>
    </w:p>
    <w:p w:rsidR="0053633E" w:rsidRDefault="00BD38B1">
      <w:pPr>
        <w:spacing w:after="122"/>
        <w:ind w:left="-5"/>
      </w:pPr>
      <w:r>
        <w:t>Rwanda-based importers that earn RWF and owe foreign-currency supplier payments face uncertain RWF costs when rates move before settlement. FXGuard AI investigates whether short-term risk classification can add payment-planning support. It does not stop depreciation, hedge exposure, or resolve the underlying financial risk.</w:t>
      </w:r>
      <w:r/>
      <w:r/>
    </w:p>
    <w:p w:rsidR="0053633E" w:rsidRDefault="00BD38B1">
      <w:pPr>
        <w:ind w:left="-5"/>
      </w:pPr>
      <w:r>
        <w:t>FXGuard AI is an experimental web-based decision-support prototype. It uses official USD/RWF, EUR/RWF, and KES/RWF histories and the user's invoice payment date to classify 1-to-100-day depreciation pressure as Low, Medium, or High.</w:t>
      </w:r>
      <w:r/>
    </w:p>
    <w:tbl>
      <w:tblPr>
        <w:tblStyle w:val="TableGrid"/>
        <w:tblW w:w="9360" w:type="dxa"/>
        <w:tblInd w:w="8" w:type="dxa"/>
        <w:tblCellMar>
          <w:top w:w="11" w:type="dxa"/>
          <w:left w:w="110" w:type="dxa"/>
          <w:bottom w:w="0" w:type="dxa"/>
          <w:right w:w="87" w:type="dxa"/>
        </w:tblCellMar>
        <w:tblLook w:val="04A0" w:firstRow="1" w:lastRow="0" w:firstColumn="1" w:lastColumn="0" w:noHBand="0" w:noVBand="1"/>
      </w:tblPr>
      <w:tblGrid>
        <w:gridCol w:w="4682"/>
        <w:gridCol w:w="4678"/>
      </w:tblGrid>
      <w:tr w:rsidR="0053633E">
        <w:trPr>
          <w:trHeight w:val="259"/>
        </w:trPr>
        <w:tc>
          <w:tcPr>
            <w:tcW w:w="4683" w:type="dxa"/>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3" w:firstLine="0"/>
            </w:pPr>
            <w:r>
              <w:rPr>
                <w:b/>
                <w:sz w:val="18"/>
              </w:rPr>
              <w:t>Detail</w:t>
            </w:r>
            <w:r/>
          </w:p>
        </w:tc>
        <w:tc>
          <w:tcPr>
            <w:tcW w:w="4678" w:type="dxa"/>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0" w:firstLine="0"/>
            </w:pPr>
            <w:r>
              <w:rPr>
                <w:b/>
                <w:sz w:val="18"/>
              </w:rPr>
              <w:t>Description</w:t>
            </w:r>
            <w:r/>
          </w:p>
        </w:tc>
      </w:tr>
      <w:tr w:rsidR="0053633E">
        <w:trPr>
          <w:trHeight w:val="74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Problem</w:t>
            </w:r>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Short-term USD/RWF, EUR/RWF, and KES/RWF movements can increase import costs, reduce margins, and create payment-planning uncertainty.</w:t>
            </w:r>
            <w:r>
              <w:rPr>
                <w:sz w:val="18"/>
              </w:rPr>
            </w:r>
            <w:r/>
          </w:p>
        </w:tc>
      </w:tr>
      <w:tr w:rsidR="0053633E">
        <w:trPr>
          <w:trHeight w:val="50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Goal</w:t>
            </w:r>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Classify short-term RWF depreciation risk as Low, Medium, or High for each supported supplier-payment currency.</w:t>
            </w:r>
            <w:r/>
          </w:p>
        </w:tc>
      </w:tr>
      <w:tr w:rsidR="0053633E">
        <w:trPr>
          <w:trHeight w:val="50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Users</w:t>
            </w:r>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Rwanda-based importers, small business owners, accountants, and finance professionals.</w:t>
            </w:r>
            <w:r/>
          </w:p>
        </w:tc>
      </w:tr>
      <w:tr w:rsidR="0053633E">
        <w:trPr>
          <w:trHeight w:val="74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Current scope</w:t>
            </w:r>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USD, EUR, and KES against RWF; user-selected payment dates 1–100 days ahead; FastAPI backend; web frontend.</w:t>
            </w:r>
            <w:r>
              <w:rPr>
                <w:sz w:val="18"/>
              </w:rPr>
            </w:r>
            <w:r/>
          </w:p>
        </w:tc>
      </w:tr>
      <w:tr w:rsidR="0053633E">
        <w:trPr>
          <w:trHeight w:val="74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Output</w:t>
            </w:r>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Experimental risk class, uncalibrated model scores, RWF cost scenario, drivers, and planning considerations.</w:t>
            </w:r>
            <w:r/>
          </w:p>
        </w:tc>
      </w:tr>
    </w:tbl>
    <w:p w:rsidR="0053633E" w:rsidRDefault="00BD38B1">
      <w:pPr>
        <w:spacing w:after="0" w:line="259" w:lineRule="auto"/>
        <w:ind w:left="2325" w:firstLine="0"/>
      </w:pPr>
      <w:r>
        <w:t xml:space="preserve"> </w:t>
      </w:r>
    </w:p>
    <w:p w:rsidR="0053633E" w:rsidRDefault="00BD38B1">
      <w:pPr>
        <w:pStyle w:val="Heading1"/>
        <w:ind w:left="351" w:hanging="366"/>
      </w:pPr>
      <w:r>
        <w:t xml:space="preserve">Data Used </w:t>
      </w:r>
    </w:p>
    <w:p w:rsidR="0053633E" w:rsidRDefault="00BD38B1">
      <w:pPr>
        <w:ind w:left="-5"/>
      </w:pPr>
      <w:r>
        <w:t>The model dataset uses actual BNR posting rows only. A forward-filled daily calendar remains available for charts, but weekends and other non-posting dates are excluded from model training.</w:t>
      </w:r>
      <w:r/>
    </w:p>
    <w:tbl>
      <w:tblPr>
        <w:tblStyle w:val="TableGrid"/>
        <w:tblW w:w="9360" w:type="dxa"/>
        <w:tblInd w:w="8" w:type="dxa"/>
        <w:tblCellMar>
          <w:top w:w="6" w:type="dxa"/>
          <w:left w:w="110" w:type="dxa"/>
          <w:bottom w:w="0" w:type="dxa"/>
          <w:right w:w="115" w:type="dxa"/>
        </w:tblCellMar>
        <w:tblLook w:val="04A0" w:firstRow="1" w:lastRow="0" w:firstColumn="1" w:lastColumn="0" w:noHBand="0" w:noVBand="1"/>
      </w:tblPr>
      <w:tblGrid>
        <w:gridCol w:w="4682"/>
        <w:gridCol w:w="4678"/>
      </w:tblGrid>
      <w:tr w:rsidR="0053633E">
        <w:trPr>
          <w:trHeight w:val="260"/>
        </w:trPr>
        <w:tc>
          <w:tcPr>
            <w:tcW w:w="4683" w:type="dxa"/>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3" w:firstLine="0"/>
            </w:pPr>
            <w:r>
              <w:rPr>
                <w:b/>
                <w:sz w:val="18"/>
              </w:rPr>
              <w:t>Item</w:t>
            </w:r>
            <w:r/>
          </w:p>
        </w:tc>
        <w:tc>
          <w:tcPr>
            <w:tcW w:w="4678" w:type="dxa"/>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0" w:firstLine="0"/>
            </w:pPr>
            <w:r>
              <w:rPr>
                <w:b/>
                <w:sz w:val="18"/>
              </w:rPr>
              <w:t>Description</w:t>
            </w:r>
            <w:r/>
          </w:p>
        </w:tc>
      </w:tr>
      <w:tr w:rsidR="0053633E">
        <w:trPr>
          <w:trHeight w:val="50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Source</w:t>
            </w:r>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Official National Bank of Rwanda Excel exchange-rate exports.</w:t>
            </w:r>
            <w:r>
              <w:rPr>
                <w:sz w:val="18"/>
              </w:rPr>
            </w:r>
            <w:r/>
          </w:p>
        </w:tc>
      </w:tr>
      <w:tr w:rsidR="0053633E">
        <w:trPr>
          <w:trHeight w:val="240"/>
        </w:trPr>
        <w:tc>
          <w:tcPr>
            <w:tcW w:w="4683"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3" w:firstLine="0"/>
            </w:pPr>
            <w:r>
              <w:rPr>
                <w:sz w:val="18"/>
              </w:rPr>
              <w:t>Currency pairs</w:t>
            </w:r>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USD/RWF, EUR/RWF, and KES/RWF.</w:t>
            </w:r>
            <w:r/>
          </w:p>
        </w:tc>
      </w:tr>
      <w:tr w:rsidR="0053633E">
        <w:trPr>
          <w:trHeight w:val="74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Period</w:t>
            </w:r>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Official observations from 4 January 2022 to 17 July 2026; model-ready dates vary slightly by forecast horizon.</w:t>
            </w:r>
            <w:r/>
          </w:p>
        </w:tc>
      </w:tr>
      <w:tr w:rsidR="0053633E">
        <w:trPr>
          <w:trHeight w:val="260"/>
        </w:trPr>
        <w:tc>
          <w:tcPr>
            <w:tcW w:w="4683"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3" w:firstLine="0"/>
            </w:pPr>
            <w:r>
              <w:rPr>
                <w:sz w:val="18"/>
              </w:rPr>
              <w:t>Raw fields</w:t>
            </w:r>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date, currency, buying_rate, average_rate, selling_rate, source, and rate type.</w:t>
            </w:r>
            <w:r/>
          </w:p>
        </w:tc>
      </w:tr>
      <w:tr w:rsidR="0053633E">
        <w:trPr>
          <w:trHeight w:val="50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Prepared fields</w:t>
            </w:r>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Official-posting observations, engineered rate-history features, horizon_days, and horizon-specific 1-to-100-day labels.</w:t>
            </w:r>
            <w:r/>
          </w:p>
        </w:tc>
      </w:tr>
      <w:tr w:rsidR="0053633E">
        <w:trPr>
          <w:trHeight w:val="74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Daily calendar approach</w:t>
            </w:r>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Forward-filled dates are retained for charts only; model training uses actual BNR postings.</w:t>
            </w:r>
            <w:r/>
          </w:p>
        </w:tc>
      </w:tr>
    </w:tbl>
    <w:p w:rsidR="0053633E" w:rsidRDefault="00BD38B1">
      <w:pPr>
        <w:pStyle w:val="Heading1"/>
        <w:ind w:left="349" w:hanging="364"/>
      </w:pPr>
      <w:r>
        <w:t xml:space="preserve">Classes and Risk Labels </w:t>
      </w:r>
    </w:p>
    <w:p w:rsidR="0053633E" w:rsidRDefault="00BD38B1">
      <w:pPr>
        <w:ind w:left="-5"/>
      </w:pPr>
      <w:r>
        <w:t>FXGuard AI is treated</w:t>
      </w:r>
      <w:r>
        <w:t xml:space="preserve"> as a multi-class classification problem. The model predicts one of three risk classes for each selected horizon. </w:t>
      </w:r>
    </w:p>
    <w:tbl>
      <w:tblPr>
        <w:tblStyle w:val="TableGrid"/>
        <w:tblW w:w="9360" w:type="dxa"/>
        <w:tblInd w:w="8" w:type="dxa"/>
        <w:tblCellMar>
          <w:top w:w="6" w:type="dxa"/>
          <w:left w:w="110" w:type="dxa"/>
          <w:bottom w:w="0" w:type="dxa"/>
          <w:right w:w="115" w:type="dxa"/>
        </w:tblCellMar>
        <w:tblLook w:val="04A0" w:firstRow="1" w:lastRow="0" w:firstColumn="1" w:lastColumn="0" w:noHBand="0" w:noVBand="1"/>
      </w:tblPr>
      <w:tblGrid>
        <w:gridCol w:w="4683"/>
        <w:gridCol w:w="4678"/>
      </w:tblGrid>
      <w:tr w:rsidR="0053633E">
        <w:trPr>
          <w:trHeight w:val="258"/>
        </w:trPr>
        <w:tc>
          <w:tcPr>
            <w:tcW w:w="4683" w:type="dxa"/>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3" w:firstLine="0"/>
            </w:pPr>
            <w:r>
              <w:rPr>
                <w:b/>
                <w:sz w:val="18"/>
              </w:rPr>
              <w:t>Item</w:t>
            </w:r>
            <w:r>
              <w:t xml:space="preserve"> </w:t>
            </w:r>
          </w:p>
        </w:tc>
        <w:tc>
          <w:tcPr>
            <w:tcW w:w="4678" w:type="dxa"/>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0" w:firstLine="0"/>
            </w:pPr>
            <w:r>
              <w:rPr>
                <w:b/>
                <w:sz w:val="18"/>
              </w:rPr>
              <w:t>Description</w:t>
            </w:r>
            <w:r>
              <w:t xml:space="preserve"> </w:t>
            </w:r>
          </w:p>
        </w:tc>
      </w:tr>
      <w:tr w:rsidR="0053633E">
        <w:trPr>
          <w:trHeight w:val="482"/>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Low risk</w:t>
            </w:r>
            <w:r>
              <w:t xml:space="preserve"> </w:t>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The short-term outlook suggests limited cost pressure.</w:t>
            </w:r>
            <w:r>
              <w:t xml:space="preserve"> </w:t>
            </w:r>
          </w:p>
        </w:tc>
      </w:tr>
      <w:tr w:rsidR="0053633E">
        <w:trPr>
          <w:trHeight w:val="50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Medium risk</w:t>
            </w:r>
            <w:r>
              <w:t xml:space="preserve"> </w:t>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 xml:space="preserve">The user should monitor the rate and </w:t>
            </w:r>
            <w:r>
              <w:rPr>
                <w:sz w:val="18"/>
              </w:rPr>
              <w:t>prepare a payment or pricing buffer.</w:t>
            </w:r>
            <w:r>
              <w:t xml:space="preserve"> </w:t>
            </w:r>
          </w:p>
        </w:tc>
      </w:tr>
      <w:tr w:rsidR="0053633E">
        <w:trPr>
          <w:trHeight w:val="74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High risk</w:t>
            </w:r>
            <w:r>
              <w:t xml:space="preserve"> </w:t>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The payment may be more exposed; the user should consider earlier payment, splitting the payment, or reviewing prices.</w:t>
            </w:r>
            <w:r>
              <w:t xml:space="preserve"> </w:t>
            </w:r>
          </w:p>
        </w:tc>
      </w:tr>
    </w:tbl>
    <w:p w:rsidR="0053633E" w:rsidRDefault="00BD38B1">
      <w:pPr>
        <w:spacing w:after="419"/>
        <w:ind w:left="-5"/>
      </w:pPr>
      <w:r>
        <w:t>Every integer horizon from 1 to 100 days uses the first official BNR posting on or after its calendar target date. Within evaluation, Low, Medium, and High thresholds are derived separately for every horizon from the earlier training window only.</w:t>
      </w:r>
      <w:r/>
    </w:p>
    <w:p w:rsidR="0053633E" w:rsidRDefault="00BD38B1">
      <w:pPr>
        <w:pStyle w:val="Heading1"/>
        <w:ind w:left="386" w:hanging="401"/>
      </w:pPr>
      <w:r>
        <w:t xml:space="preserve">Feature </w:t>
      </w:r>
      <w:r>
        <w:t xml:space="preserve">Engineering </w:t>
      </w:r>
    </w:p>
    <w:p w:rsidR="0053633E" w:rsidRDefault="00BD38B1">
      <w:pPr>
        <w:spacing w:after="122"/>
        <w:ind w:left="-5"/>
      </w:pPr>
      <w:r>
        <w:t>The raw exchange-rate data was transformed into model-ready features. The core assumption is that exchange-rate risk is not only explained by today's rate; it is also shaped by recent movement, volatility, momentum, spread, and repeated deprec</w:t>
      </w:r>
      <w:r>
        <w:t xml:space="preserve">iation pressure. </w:t>
      </w:r>
    </w:p>
    <w:p w:rsidR="0053633E" w:rsidRDefault="00BD38B1">
      <w:pPr>
        <w:spacing w:after="125" w:line="259" w:lineRule="auto"/>
        <w:ind w:left="0" w:firstLine="0"/>
      </w:pPr>
      <w:r>
        <w:t xml:space="preserve"> </w:t>
      </w:r>
    </w:p>
    <w:p w:rsidR="0053633E" w:rsidRDefault="00BD38B1">
      <w:pPr>
        <w:spacing w:after="0" w:line="259" w:lineRule="auto"/>
        <w:ind w:left="0" w:firstLine="0"/>
      </w:pPr>
      <w:r>
        <w:t xml:space="preserve"> </w:t>
      </w:r>
    </w:p>
    <w:tbl>
      <w:tblPr>
        <w:tblStyle w:val="TableGrid"/>
        <w:tblW w:w="9360" w:type="dxa"/>
        <w:tblInd w:w="8" w:type="dxa"/>
        <w:tblCellMar>
          <w:top w:w="5" w:type="dxa"/>
          <w:left w:w="110" w:type="dxa"/>
          <w:bottom w:w="0" w:type="dxa"/>
          <w:right w:w="115" w:type="dxa"/>
        </w:tblCellMar>
        <w:tblLook w:val="04A0" w:firstRow="1" w:lastRow="0" w:firstColumn="1" w:lastColumn="0" w:noHBand="0" w:noVBand="1"/>
      </w:tblPr>
      <w:tblGrid>
        <w:gridCol w:w="3123"/>
        <w:gridCol w:w="3120"/>
        <w:gridCol w:w="3118"/>
      </w:tblGrid>
      <w:tr w:rsidR="0053633E">
        <w:trPr>
          <w:trHeight w:val="243"/>
        </w:trPr>
        <w:tc>
          <w:tcPr>
            <w:tcW w:w="3123" w:type="dxa"/>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3" w:firstLine="0"/>
            </w:pPr>
            <w:r>
              <w:rPr>
                <w:b/>
                <w:sz w:val="18"/>
              </w:rPr>
              <w:t>Feature</w:t>
            </w:r>
            <w:r>
              <w:t xml:space="preserve"> </w:t>
            </w:r>
          </w:p>
        </w:tc>
        <w:tc>
          <w:tcPr>
            <w:tcW w:w="3120" w:type="dxa"/>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0" w:firstLine="0"/>
            </w:pPr>
            <w:r>
              <w:rPr>
                <w:b/>
                <w:sz w:val="18"/>
              </w:rPr>
              <w:t>Engineering logic</w:t>
            </w:r>
            <w:r>
              <w:t xml:space="preserve"> </w:t>
            </w:r>
          </w:p>
        </w:tc>
        <w:tc>
          <w:tcPr>
            <w:tcW w:w="3118" w:type="dxa"/>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0" w:firstLine="0"/>
            </w:pPr>
            <w:r>
              <w:rPr>
                <w:b/>
                <w:sz w:val="18"/>
              </w:rPr>
              <w:t>Purpose</w:t>
            </w:r>
            <w:r>
              <w:t xml:space="preserve"> </w:t>
            </w:r>
          </w:p>
        </w:tc>
      </w:tr>
      <w:tr w:rsidR="0053633E">
        <w:trPr>
          <w:trHeight w:val="500"/>
        </w:trPr>
        <w:tc>
          <w:tcPr>
            <w:tcW w:w="312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mid_rate</w:t>
            </w:r>
            <w:r>
              <w:t xml:space="preserve"> </w:t>
            </w:r>
          </w:p>
        </w:tc>
        <w:tc>
          <w:tcPr>
            <w:tcW w:w="312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0" w:firstLine="0"/>
            </w:pPr>
            <w:r>
              <w:rPr>
                <w:sz w:val="18"/>
              </w:rPr>
              <w:t>(buying_rate + selling_rate) / 2</w:t>
            </w:r>
            <w:r>
              <w:t xml:space="preserve"> </w:t>
            </w:r>
          </w:p>
        </w:tc>
        <w:tc>
          <w:tcPr>
            <w:tcW w:w="311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Main exchange-rate value used for modeling.</w:t>
            </w:r>
            <w:r>
              <w:t xml:space="preserve"> </w:t>
            </w:r>
          </w:p>
        </w:tc>
      </w:tr>
      <w:tr w:rsidR="0053633E">
        <w:trPr>
          <w:trHeight w:val="500"/>
        </w:trPr>
        <w:tc>
          <w:tcPr>
            <w:tcW w:w="312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daily_return</w:t>
            </w:r>
            <w:r>
              <w:t xml:space="preserve"> </w:t>
            </w:r>
          </w:p>
        </w:tc>
        <w:tc>
          <w:tcPr>
            <w:tcW w:w="312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Day-to-day percentage change in mid_rate</w:t>
            </w:r>
            <w:r>
              <w:t xml:space="preserve"> </w:t>
            </w:r>
          </w:p>
        </w:tc>
        <w:tc>
          <w:tcPr>
            <w:tcW w:w="3118"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0" w:firstLine="0"/>
            </w:pPr>
            <w:r>
              <w:rPr>
                <w:sz w:val="18"/>
              </w:rPr>
              <w:t>Shows the latest movement.</w:t>
            </w:r>
            <w:r>
              <w:t xml:space="preserve"> </w:t>
            </w:r>
          </w:p>
        </w:tc>
      </w:tr>
      <w:tr w:rsidR="0053633E">
        <w:trPr>
          <w:trHeight w:val="500"/>
        </w:trPr>
        <w:tc>
          <w:tcPr>
            <w:tcW w:w="312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return_7d, return_14d</w:t>
            </w:r>
            <w:r>
              <w:t xml:space="preserve"> </w:t>
            </w:r>
          </w:p>
        </w:tc>
        <w:tc>
          <w:tcPr>
            <w:tcW w:w="312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Percentage change over 7 and 14 days</w:t>
            </w:r>
            <w:r>
              <w:t xml:space="preserve"> </w:t>
            </w:r>
          </w:p>
        </w:tc>
        <w:tc>
          <w:tcPr>
            <w:tcW w:w="311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Captures short-term depreciation trend.</w:t>
            </w:r>
            <w:r>
              <w:t xml:space="preserve"> </w:t>
            </w:r>
          </w:p>
        </w:tc>
      </w:tr>
      <w:tr w:rsidR="0053633E">
        <w:trPr>
          <w:trHeight w:val="500"/>
        </w:trPr>
        <w:tc>
          <w:tcPr>
            <w:tcW w:w="312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ma_7, ma_14, ma_30</w:t>
            </w:r>
            <w:r>
              <w:t xml:space="preserve"> </w:t>
            </w:r>
          </w:p>
        </w:tc>
        <w:tc>
          <w:tcPr>
            <w:tcW w:w="312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Moving averages over 7, 14, and 30 days</w:t>
            </w:r>
            <w:r>
              <w:t xml:space="preserve"> </w:t>
            </w:r>
          </w:p>
        </w:tc>
        <w:tc>
          <w:tcPr>
            <w:tcW w:w="311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right="4" w:firstLine="0"/>
            </w:pPr>
            <w:r>
              <w:rPr>
                <w:sz w:val="18"/>
              </w:rPr>
              <w:t>Smooths noise and shows trend direction.</w:t>
            </w:r>
            <w:r>
              <w:t xml:space="preserve"> </w:t>
            </w:r>
          </w:p>
        </w:tc>
      </w:tr>
      <w:tr w:rsidR="0053633E">
        <w:trPr>
          <w:trHeight w:val="500"/>
        </w:trPr>
        <w:tc>
          <w:tcPr>
            <w:tcW w:w="312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ma_gap</w:t>
            </w:r>
            <w:r>
              <w:t xml:space="preserve"> </w:t>
            </w:r>
          </w:p>
        </w:tc>
        <w:tc>
          <w:tcPr>
            <w:tcW w:w="312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Difference between short-term and longer-term averages</w:t>
            </w:r>
            <w:r>
              <w:t xml:space="preserve"> </w:t>
            </w:r>
          </w:p>
        </w:tc>
        <w:tc>
          <w:tcPr>
            <w:tcW w:w="311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 xml:space="preserve">Shows </w:t>
            </w:r>
            <w:r>
              <w:rPr>
                <w:sz w:val="18"/>
              </w:rPr>
              <w:t>whether recent rates are above longer trend.</w:t>
            </w:r>
            <w:r>
              <w:t xml:space="preserve"> </w:t>
            </w:r>
          </w:p>
        </w:tc>
      </w:tr>
      <w:tr w:rsidR="0053633E">
        <w:trPr>
          <w:trHeight w:val="500"/>
        </w:trPr>
        <w:tc>
          <w:tcPr>
            <w:tcW w:w="3123"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3" w:firstLine="0"/>
            </w:pPr>
            <w:r>
              <w:rPr>
                <w:sz w:val="18"/>
              </w:rPr>
              <w:t>volatility_7d, volatility_14d, volatility_30d</w:t>
            </w:r>
            <w:r>
              <w:t xml:space="preserve"> </w:t>
            </w:r>
          </w:p>
        </w:tc>
        <w:tc>
          <w:tcPr>
            <w:tcW w:w="312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Rolling standard deviation of returns</w:t>
            </w:r>
            <w:r>
              <w:t xml:space="preserve"> </w:t>
            </w:r>
          </w:p>
        </w:tc>
        <w:tc>
          <w:tcPr>
            <w:tcW w:w="311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Measures instability and uncertainty.</w:t>
            </w:r>
            <w:r>
              <w:t xml:space="preserve"> </w:t>
            </w:r>
          </w:p>
        </w:tc>
      </w:tr>
      <w:tr w:rsidR="0053633E">
        <w:trPr>
          <w:trHeight w:val="500"/>
        </w:trPr>
        <w:tc>
          <w:tcPr>
            <w:tcW w:w="3123"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3" w:firstLine="0"/>
            </w:pPr>
            <w:r>
              <w:rPr>
                <w:sz w:val="18"/>
              </w:rPr>
              <w:t>momentum_7d, momentum_14d</w:t>
            </w:r>
            <w:r>
              <w:t xml:space="preserve"> </w:t>
            </w:r>
          </w:p>
        </w:tc>
        <w:tc>
          <w:tcPr>
            <w:tcW w:w="312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Recent movement direction over one or two weeks</w:t>
            </w:r>
            <w:r>
              <w:t xml:space="preserve"> </w:t>
            </w:r>
          </w:p>
        </w:tc>
        <w:tc>
          <w:tcPr>
            <w:tcW w:w="3118"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0" w:firstLine="0"/>
            </w:pPr>
            <w:r>
              <w:rPr>
                <w:sz w:val="18"/>
              </w:rPr>
              <w:t>Captures pressure direction.</w:t>
            </w:r>
            <w:r>
              <w:t xml:space="preserve"> </w:t>
            </w:r>
          </w:p>
        </w:tc>
      </w:tr>
      <w:tr w:rsidR="0053633E">
        <w:trPr>
          <w:trHeight w:val="480"/>
        </w:trPr>
        <w:tc>
          <w:tcPr>
            <w:tcW w:w="312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spread, spread_pct</w:t>
            </w:r>
            <w:r>
              <w:t xml:space="preserve"> </w:t>
            </w:r>
          </w:p>
        </w:tc>
        <w:tc>
          <w:tcPr>
            <w:tcW w:w="312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selling_rate - buying_rate and relative spread</w:t>
            </w:r>
            <w:r>
              <w:t xml:space="preserve"> </w:t>
            </w:r>
          </w:p>
        </w:tc>
        <w:tc>
          <w:tcPr>
            <w:tcW w:w="311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Captures transaction cost and market pressure.</w:t>
            </w:r>
            <w:r>
              <w:t xml:space="preserve"> </w:t>
            </w:r>
          </w:p>
        </w:tc>
      </w:tr>
      <w:tr w:rsidR="0053633E">
        <w:trPr>
          <w:trHeight w:val="500"/>
        </w:trPr>
        <w:tc>
          <w:tcPr>
            <w:tcW w:w="3123"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3" w:firstLine="0"/>
            </w:pPr>
            <w:r>
              <w:rPr>
                <w:sz w:val="18"/>
              </w:rPr>
              <w:t>depreciation_days_7d, depreciation_days_14d</w:t>
            </w:r>
            <w:r>
              <w:t xml:space="preserve"> </w:t>
            </w:r>
          </w:p>
        </w:tc>
        <w:tc>
          <w:tcPr>
            <w:tcW w:w="312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Number of recent days when the selected foreign-currency/RWF rate increased</w:t>
            </w:r>
            <w:r/>
          </w:p>
        </w:tc>
        <w:tc>
          <w:tcPr>
            <w:tcW w:w="311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Shows how persistent recent RWF weakening pressure has been for the selected currency.</w:t>
            </w:r>
            <w:r>
              <w:rPr>
                <w:sz w:val="18"/>
              </w:rPr>
            </w:r>
            <w:r/>
          </w:p>
        </w:tc>
      </w:tr>
    </w:tbl>
    <w:p w:rsidR="0053633E" w:rsidRDefault="00BD38B1">
      <w:pPr>
        <w:pStyle w:val="Heading1"/>
        <w:ind w:left="350" w:hanging="365"/>
      </w:pPr>
      <w:r>
        <w:t xml:space="preserve">Functions and System Components </w:t>
      </w:r>
    </w:p>
    <w:p w:rsidR="0053633E" w:rsidRDefault="00BD38B1">
      <w:pPr>
        <w:ind w:left="-5"/>
      </w:pPr>
      <w:r>
        <w:t xml:space="preserve">The application is separated into a simple frontend and a FastAPI backend. The backend owns the data loading, model loading, prediction, and response formatting logic. </w:t>
      </w:r>
    </w:p>
    <w:tbl>
      <w:tblPr>
        <w:tblStyle w:val="TableGrid"/>
        <w:tblW w:w="9360" w:type="dxa"/>
        <w:tblInd w:w="8" w:type="dxa"/>
        <w:tblCellMar>
          <w:top w:w="9" w:type="dxa"/>
          <w:left w:w="110" w:type="dxa"/>
          <w:bottom w:w="0" w:type="dxa"/>
          <w:right w:w="115" w:type="dxa"/>
        </w:tblCellMar>
        <w:tblLook w:val="04A0" w:firstRow="1" w:lastRow="0" w:firstColumn="1" w:lastColumn="0" w:noHBand="0" w:noVBand="1"/>
      </w:tblPr>
      <w:tblGrid>
        <w:gridCol w:w="4683"/>
        <w:gridCol w:w="4678"/>
      </w:tblGrid>
      <w:tr w:rsidR="0053633E">
        <w:trPr>
          <w:trHeight w:val="258"/>
        </w:trPr>
        <w:tc>
          <w:tcPr>
            <w:tcW w:w="4683" w:type="dxa"/>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3" w:firstLine="0"/>
            </w:pPr>
            <w:r>
              <w:rPr>
                <w:b/>
                <w:sz w:val="18"/>
              </w:rPr>
              <w:t>Function / endpoint</w:t>
            </w:r>
            <w:r>
              <w:rPr>
                <w:b/>
                <w:sz w:val="18"/>
              </w:rPr>
            </w:r>
            <w:r/>
          </w:p>
        </w:tc>
        <w:tc>
          <w:tcPr>
            <w:tcW w:w="4678" w:type="dxa"/>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0" w:firstLine="0"/>
            </w:pPr>
            <w:r>
              <w:rPr>
                <w:b/>
                <w:sz w:val="18"/>
              </w:rPr>
              <w:t>Role in the prototype</w:t>
            </w:r>
            <w:r/>
          </w:p>
        </w:tc>
      </w:tr>
      <w:tr w:rsidR="0053633E">
        <w:trPr>
          <w:trHeight w:val="483"/>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load_daily_calendar()</w:t>
            </w:r>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Loads the prepared daily exchange-rate series for the selected currency.</w:t>
            </w:r>
            <w:r/>
          </w:p>
        </w:tc>
      </w:tr>
      <w:tr w:rsidR="0053633E">
        <w:trPr>
          <w:trHeight w:val="50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load_features()</w:t>
            </w:r>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Loads the engineered multicurrency model-ready feature dataset.</w:t>
            </w:r>
            <w:r/>
          </w:p>
        </w:tc>
      </w:tr>
      <w:tr w:rsidR="0053633E">
        <w:trPr>
          <w:trHeight w:val="74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model_predict()</w:t>
            </w:r>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Loads one horizon-aware model for the selected currency and predicts from the latest features plus horizon_days.</w:t>
            </w:r>
            <w:r>
              <w:rPr>
                <w:sz w:val="18"/>
              </w:rPr>
            </w:r>
            <w:r/>
          </w:p>
        </w:tc>
      </w:tr>
      <w:tr w:rsidR="0053633E">
        <w:trPr>
          <w:trHeight w:val="50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/api/latest-rate</w:t>
            </w:r>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Returns the latest official exchange rate for USD, EUR, or KES against RWF.</w:t>
            </w:r>
            <w:r/>
          </w:p>
        </w:tc>
      </w:tr>
      <w:tr w:rsidR="0053633E">
        <w:trPr>
          <w:trHeight w:val="50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/api/data-freshness</w:t>
            </w:r>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Reports the latest imported official date and data age for a selected currency.</w:t>
            </w:r>
            <w:r/>
          </w:p>
        </w:tc>
      </w:tr>
      <w:tr w:rsidR="0053633E">
        <w:trPr>
          <w:trHeight w:val="74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/api/predict-risk</w:t>
            </w:r>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Receives currency, amount, and payment_date; validates 1–100 days; returns experimental risk classification, approximate uncalibrated scores, reliability status, cost estimates, and planning considerations.</w:t>
            </w:r>
            <w:r/>
          </w:p>
        </w:tc>
      </w:tr>
      <w:tr w:rsidR="0053633E">
        <w:trPr>
          <w:trHeight w:val="50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/api/feedback</w:t>
            </w:r>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Provides the local participant-feedback backup endpoint.</w:t>
            </w:r>
            <w:r/>
          </w:p>
        </w:tc>
      </w:tr>
    </w:tbl>
    <w:p w:rsidR="0053633E" w:rsidRDefault="00BD38B1">
      <w:pPr>
        <w:spacing w:after="327" w:line="259" w:lineRule="auto"/>
        <w:ind w:left="0" w:firstLine="0"/>
      </w:pPr>
      <w:r>
        <w:rPr>
          <w:b/>
          <w:color w:val="2E74B5"/>
          <w:sz w:val="32"/>
        </w:rPr>
        <w:t xml:space="preserve"> </w:t>
      </w:r>
    </w:p>
    <w:p w:rsidR="0053633E" w:rsidRDefault="00BD38B1">
      <w:pPr>
        <w:pStyle w:val="Heading1"/>
        <w:ind w:left="366" w:hanging="381"/>
      </w:pPr>
      <w:r>
        <w:t xml:space="preserve">Models Trained and Compared </w:t>
      </w:r>
    </w:p>
    <w:p w:rsidR="0053633E" w:rsidRDefault="00BD38B1">
      <w:pPr>
        <w:ind w:left="-5"/>
      </w:pPr>
      <w:r>
        <w:t>Logistic Regression, Random Forest, and XGBoost were compared independently for USD, EUR, and KES across the full 1-to-100-day horizon surface. Model selection was based on time-aware historical backtesting rather than the final holdout.</w:t>
      </w:r>
      <w:r/>
    </w:p>
    <w:p w:rsidR="0053633E" w:rsidRDefault="00BD38B1">
      <w:pPr>
        <w:spacing w:after="136"/>
        <w:ind w:left="-5"/>
      </w:pPr>
      <w:r>
        <w:t>Accuracy reports the overall share classified correctly. Balanced Accuracy gives equal importance to Low, Medium, and High risk, while Macro F1 combines precision and recall with equal weight for each class. Balanced Accuracy was the primary model-selection measure because risk classes were not evenly distributed in every historical period.</w:t>
      </w:r>
      <w:r/>
      <w:r/>
    </w:p>
    <w:p w:rsidR="0053633E" w:rsidRDefault="00BD38B1">
      <w:pPr>
        <w:pStyle w:val="Heading2"/>
      </w:pPr>
      <w:r>
        <w:t>Multicurrency Backtesting Method</w:t>
      </w:r>
      <w:r>
        <w:rPr>
          <w:b w:val="0"/>
          <w:color w:val="000000"/>
          <w:sz w:val="22"/>
        </w:rPr>
      </w:r>
    </w:p>
    <w:p w:rsidR="0053633E" w:rsidRDefault="00BD38B1">
      <w:pPr>
        <w:pBdr>
          <w:top w:val="single" w:sz="8" w:space="0" w:color="DADCE0"/>
          <w:left w:val="single" w:sz="8" w:space="0" w:color="DADCE0"/>
          <w:bottom w:val="single" w:sz="8" w:space="0" w:color="DADCE0"/>
          <w:right w:val="single" w:sz="8" w:space="0" w:color="DADCE0"/>
        </w:pBdr>
        <w:shd w:val="clear" w:color="auto" w:fill="F4F6F9"/>
        <w:spacing w:after="94"/>
        <w:ind w:left="120" w:firstLine="0"/>
      </w:pPr>
      <w:r>
        <w:rPr>
          <w:sz w:val="20"/>
        </w:rPr>
        <w:t>Three expanding rolling-origin folds were used for every currency and the full 1-to-100-day horizon surface. Training rows whose future outcome date reached the following test period were purged, creating up to a 100-day boundary gap.</w:t>
      </w:r>
      <w:r>
        <w:rPr>
          <w:sz w:val="20"/>
        </w:rPr>
      </w:r>
      <w:r/>
    </w:p>
    <w:tbl>
      <w:tblPr>
        <w:tblStyle w:val="TableGrid"/>
        <w:tblW w:w="9343" w:type="dxa"/>
        <w:tblInd w:w="8" w:type="dxa"/>
        <w:tblCellMar>
          <w:top w:w="9" w:type="dxa"/>
          <w:left w:w="110" w:type="dxa"/>
          <w:bottom w:w="0" w:type="dxa"/>
          <w:right w:w="115" w:type="dxa"/>
        </w:tblCellMar>
        <w:tblLook w:val="04A0" w:firstRow="1" w:lastRow="0" w:firstColumn="1" w:lastColumn="0" w:noHBand="0" w:noVBand="1"/>
      </w:tblPr>
      <w:tblGrid>
        <w:gridCol w:w="1323"/>
        <w:gridCol w:w="1340"/>
        <w:gridCol w:w="1340"/>
        <w:gridCol w:w="1340"/>
        <w:gridCol w:w="1320"/>
        <w:gridCol w:w="1340"/>
        <w:gridCol w:w="1340"/>
      </w:tblGrid>
      <w:tr w:rsidR="0053633E">
        <w:trPr>
          <w:trHeight w:val="498"/>
        </w:trPr>
        <w:tc>
          <w:tcPr>
            <w:tcW w:w="1323" w:type="dxa"/>
            <w:tcBorders>
              <w:top w:val="single" w:sz="8" w:space="0" w:color="DADCE0"/>
              <w:left w:val="single" w:sz="8" w:space="0" w:color="DADCE0"/>
              <w:bottom w:val="single" w:sz="8" w:space="0" w:color="DADCE0"/>
              <w:right w:val="single" w:sz="8" w:space="0" w:color="DADCE0"/>
            </w:tcBorders>
            <w:shd w:val="clear" w:color="auto" w:fill="F2F4F7"/>
            <w:vAlign w:val="center"/>
          </w:tcPr>
          <w:p w:rsidR="0053633E" w:rsidRDefault="00BD38B1">
            <w:pPr>
              <w:spacing w:after="0" w:line="259" w:lineRule="auto"/>
              <w:ind w:left="3" w:firstLine="0"/>
            </w:pPr>
            <w:r>
              <w:rPr>
                <w:b/>
                <w:sz w:val="18"/>
              </w:rPr>
              <w:t>Currency</w:t>
            </w:r>
            <w:r/>
          </w:p>
        </w:tc>
        <w:tc>
          <w:tcPr>
            <w:tcW w:w="1340" w:type="dxa"/>
            <w:tcBorders>
              <w:top w:val="single" w:sz="8" w:space="0" w:color="DADCE0"/>
              <w:left w:val="single" w:sz="8" w:space="0" w:color="DADCE0"/>
              <w:bottom w:val="single" w:sz="8" w:space="0" w:color="DADCE0"/>
              <w:right w:val="single" w:sz="8" w:space="0" w:color="DADCE0"/>
            </w:tcBorders>
            <w:shd w:val="clear" w:color="auto" w:fill="F2F4F7"/>
            <w:vAlign w:val="center"/>
          </w:tcPr>
          <w:p w:rsidR="0053633E" w:rsidRDefault="00BD38B1">
            <w:pPr>
              <w:spacing w:after="0" w:line="259" w:lineRule="auto"/>
              <w:ind w:left="15" w:firstLine="0"/>
            </w:pPr>
            <w:r>
              <w:rPr>
                <w:b/>
                <w:sz w:val="18"/>
              </w:rPr>
              <w:t>Period</w:t>
            </w:r>
            <w:r/>
          </w:p>
        </w:tc>
        <w:tc>
          <w:tcPr>
            <w:tcW w:w="1340" w:type="dxa"/>
            <w:tcBorders>
              <w:top w:val="single" w:sz="8" w:space="0" w:color="DADCE0"/>
              <w:left w:val="single" w:sz="8" w:space="0" w:color="DADCE0"/>
              <w:bottom w:val="single" w:sz="8" w:space="0" w:color="DADCE0"/>
              <w:right w:val="single" w:sz="8" w:space="0" w:color="DADCE0"/>
            </w:tcBorders>
            <w:shd w:val="clear" w:color="auto" w:fill="F2F4F7"/>
            <w:vAlign w:val="center"/>
          </w:tcPr>
          <w:p w:rsidR="0053633E" w:rsidRDefault="00BD38B1">
            <w:pPr>
              <w:spacing w:after="0" w:line="259" w:lineRule="auto"/>
              <w:ind w:firstLine="0"/>
            </w:pPr>
            <w:r>
              <w:rPr>
                <w:b/>
                <w:sz w:val="18"/>
              </w:rPr>
              <w:t>Selected model</w:t>
            </w:r>
            <w:r/>
          </w:p>
        </w:tc>
        <w:tc>
          <w:tcPr>
            <w:tcW w:w="1340" w:type="dxa"/>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5" w:firstLine="0"/>
            </w:pPr>
            <w:r>
              <w:rPr>
                <w:b/>
                <w:sz w:val="18"/>
              </w:rPr>
              <w:t>Backtest accuracy</w:t>
            </w:r>
            <w:r/>
          </w:p>
        </w:tc>
        <w:tc>
          <w:tcPr>
            <w:tcW w:w="1320" w:type="dxa"/>
            <w:tcBorders>
              <w:top w:val="single" w:sz="8" w:space="0" w:color="DADCE0"/>
              <w:left w:val="single" w:sz="8" w:space="0" w:color="DADCE0"/>
              <w:bottom w:val="single" w:sz="8" w:space="0" w:color="DADCE0"/>
              <w:right w:val="single" w:sz="8" w:space="0" w:color="DADCE0"/>
            </w:tcBorders>
            <w:shd w:val="clear" w:color="auto" w:fill="F2F4F7"/>
            <w:vAlign w:val="center"/>
          </w:tcPr>
          <w:p w:rsidR="0053633E" w:rsidRDefault="00BD38B1">
            <w:pPr>
              <w:spacing w:after="0" w:line="259" w:lineRule="auto"/>
              <w:ind w:left="0" w:firstLine="0"/>
            </w:pPr>
            <w:r>
              <w:rPr>
                <w:b/>
                <w:sz w:val="18"/>
              </w:rPr>
              <w:t>Balanced accuracy</w:t>
            </w:r>
            <w:r/>
          </w:p>
        </w:tc>
        <w:tc>
          <w:tcPr>
            <w:tcW w:w="1340" w:type="dxa"/>
            <w:tcBorders>
              <w:top w:val="single" w:sz="8" w:space="0" w:color="DADCE0"/>
              <w:left w:val="single" w:sz="8" w:space="0" w:color="DADCE0"/>
              <w:bottom w:val="single" w:sz="8" w:space="0" w:color="DADCE0"/>
              <w:right w:val="single" w:sz="8" w:space="0" w:color="DADCE0"/>
            </w:tcBorders>
            <w:shd w:val="clear" w:color="auto" w:fill="F2F4F7"/>
            <w:vAlign w:val="center"/>
          </w:tcPr>
          <w:p w:rsidR="0053633E" w:rsidRDefault="00BD38B1">
            <w:pPr>
              <w:spacing w:after="0" w:line="259" w:lineRule="auto"/>
              <w:ind w:left="15" w:firstLine="0"/>
            </w:pPr>
            <w:r>
              <w:rPr>
                <w:b/>
                <w:sz w:val="18"/>
              </w:rPr>
              <w:t>Macro F1</w:t>
            </w:r>
            <w:r/>
          </w:p>
        </w:tc>
        <w:tc>
          <w:tcPr>
            <w:tcW w:w="1340" w:type="dxa"/>
            <w:tcBorders>
              <w:top w:val="single" w:sz="8" w:space="0" w:color="DADCE0"/>
              <w:left w:val="single" w:sz="8" w:space="0" w:color="DADCE0"/>
              <w:bottom w:val="single" w:sz="8" w:space="0" w:color="DADCE0"/>
              <w:right w:val="single" w:sz="8" w:space="0" w:color="DADCE0"/>
            </w:tcBorders>
            <w:shd w:val="clear" w:color="auto" w:fill="F2F4F7"/>
            <w:vAlign w:val="center"/>
          </w:tcPr>
          <w:p w:rsidR="0053633E" w:rsidRDefault="00BD38B1">
            <w:pPr>
              <w:spacing w:after="0" w:line="259" w:lineRule="auto"/>
              <w:ind w:firstLine="0"/>
            </w:pPr>
            <w:r>
              <w:rPr>
                <w:b/>
                <w:sz w:val="18"/>
              </w:rPr>
              <w:t>Holdout accuracy</w:t>
            </w:r>
            <w:r/>
          </w:p>
        </w:tc>
      </w:tr>
      <w:tr w:rsidR="0053633E">
        <w:trPr>
          <w:trHeight w:val="483"/>
        </w:trPr>
        <w:tc>
          <w:tcPr>
            <w:tcW w:w="132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USD/RWF</w:t>
            </w:r>
            <w:r/>
          </w:p>
        </w:tc>
        <w:tc>
          <w:tcPr>
            <w:tcW w:w="1340" w:type="dxa"/>
            <w:tcBorders>
              <w:top w:val="single" w:sz="8" w:space="0" w:color="DADCE0"/>
              <w:left w:val="single" w:sz="8" w:space="0" w:color="DADCE0"/>
              <w:bottom w:val="single" w:sz="8" w:space="0" w:color="DADCE0"/>
              <w:right w:val="single" w:sz="8" w:space="0" w:color="DADCE0"/>
            </w:tcBorders>
          </w:tcPr>
          <w:p w:rsidR="0053633E" w:rsidRDefault="00BD38B1">
            <w:pPr>
              <w:spacing w:after="41" w:line="259" w:lineRule="auto"/>
              <w:ind w:left="15" w:firstLine="0"/>
            </w:pPr>
            <w:r>
              <w:rPr>
                <w:sz w:val="18"/>
              </w:rPr>
              <w:t>1–100 days</w:t>
            </w:r>
          </w:p>
        </w:tc>
        <w:tc>
          <w:tcPr>
            <w:tcW w:w="134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firstLine="0"/>
            </w:pPr>
            <w:r>
              <w:rPr>
                <w:sz w:val="18"/>
              </w:rPr>
              <w:t>Logistic Regression</w:t>
            </w:r>
            <w:r/>
          </w:p>
        </w:tc>
        <w:tc>
          <w:tcPr>
            <w:tcW w:w="134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5" w:firstLine="0"/>
            </w:pPr>
            <w:r>
              <w:rPr>
                <w:sz w:val="18"/>
              </w:rPr>
              <w:t>0.6386</w:t>
            </w:r>
            <w:r/>
          </w:p>
        </w:tc>
        <w:tc>
          <w:tcPr>
            <w:tcW w:w="132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0" w:firstLine="0"/>
            </w:pPr>
            <w:r>
              <w:rPr>
                <w:sz w:val="18"/>
              </w:rPr>
              <w:t>0.4472</w:t>
            </w:r>
            <w:r/>
          </w:p>
        </w:tc>
        <w:tc>
          <w:tcPr>
            <w:tcW w:w="134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15" w:firstLine="0"/>
            </w:pPr>
            <w:r>
              <w:rPr>
                <w:sz w:val="18"/>
              </w:rPr>
              <w:t>0.2801</w:t>
            </w:r>
            <w:r/>
          </w:p>
        </w:tc>
        <w:tc>
          <w:tcPr>
            <w:tcW w:w="134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firstLine="0"/>
            </w:pPr>
            <w:r>
              <w:rPr>
                <w:sz w:val="18"/>
              </w:rPr>
              <w:t>1.0000*</w:t>
            </w:r>
            <w:r/>
          </w:p>
        </w:tc>
      </w:tr>
      <w:tr w:rsidR="0053633E">
        <w:trPr>
          <w:trHeight w:val="500"/>
        </w:trPr>
        <w:tc>
          <w:tcPr>
            <w:tcW w:w="132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EUR/RWF</w:t>
            </w:r>
            <w:r/>
          </w:p>
        </w:tc>
        <w:tc>
          <w:tcPr>
            <w:tcW w:w="134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15" w:firstLine="0"/>
            </w:pPr>
            <w:r>
              <w:rPr>
                <w:sz w:val="18"/>
              </w:rPr>
              <w:t>1–100 days</w:t>
            </w:r>
            <w:r/>
          </w:p>
        </w:tc>
        <w:tc>
          <w:tcPr>
            <w:tcW w:w="134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firstLine="0"/>
            </w:pPr>
            <w:r>
              <w:rPr>
                <w:sz w:val="18"/>
              </w:rPr>
              <w:t>XGBoost</w:t>
            </w:r>
            <w:r/>
          </w:p>
        </w:tc>
        <w:tc>
          <w:tcPr>
            <w:tcW w:w="134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5" w:firstLine="0"/>
            </w:pPr>
            <w:r>
              <w:rPr>
                <w:sz w:val="18"/>
              </w:rPr>
              <w:t>0.3084</w:t>
            </w:r>
            <w:r/>
          </w:p>
        </w:tc>
        <w:tc>
          <w:tcPr>
            <w:tcW w:w="132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0" w:firstLine="0"/>
            </w:pPr>
            <w:r>
              <w:rPr>
                <w:sz w:val="18"/>
              </w:rPr>
              <w:t>0.2987</w:t>
            </w:r>
            <w:r/>
          </w:p>
        </w:tc>
        <w:tc>
          <w:tcPr>
            <w:tcW w:w="134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15" w:firstLine="0"/>
            </w:pPr>
            <w:r>
              <w:rPr>
                <w:sz w:val="18"/>
              </w:rPr>
              <w:t>0.1680</w:t>
            </w:r>
            <w:r/>
          </w:p>
        </w:tc>
        <w:tc>
          <w:tcPr>
            <w:tcW w:w="1340"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firstLine="0"/>
            </w:pPr>
            <w:r>
              <w:rPr>
                <w:sz w:val="18"/>
              </w:rPr>
              <w:t>0.8164</w:t>
            </w:r>
            <w:r/>
          </w:p>
        </w:tc>
      </w:tr>
      <w:tr w:rsidR="0053633E">
        <w:trPr>
          <w:trHeight w:val="260"/>
        </w:trPr>
        <w:tc>
          <w:tcPr>
            <w:tcW w:w="1323"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3" w:firstLine="0"/>
            </w:pPr>
            <w:r>
              <w:rPr>
                <w:sz w:val="18"/>
              </w:rPr>
              <w:t>KES/RWF</w:t>
            </w:r>
            <w:r/>
          </w:p>
        </w:tc>
        <w:tc>
          <w:tcPr>
            <w:tcW w:w="134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15" w:firstLine="0"/>
            </w:pPr>
            <w:r>
              <w:rPr>
                <w:sz w:val="18"/>
              </w:rPr>
              <w:t>1–100 days</w:t>
            </w:r>
            <w:r/>
          </w:p>
        </w:tc>
        <w:tc>
          <w:tcPr>
            <w:tcW w:w="134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firstLine="0"/>
            </w:pPr>
            <w:r>
              <w:rPr>
                <w:sz w:val="18"/>
              </w:rPr>
              <w:t>Random Forest</w:t>
            </w:r>
            <w:r/>
          </w:p>
        </w:tc>
        <w:tc>
          <w:tcPr>
            <w:tcW w:w="134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5" w:firstLine="0"/>
            </w:pPr>
            <w:r>
              <w:rPr>
                <w:sz w:val="18"/>
              </w:rPr>
              <w:t>0.4982</w:t>
            </w:r>
            <w:r/>
          </w:p>
        </w:tc>
        <w:tc>
          <w:tcPr>
            <w:tcW w:w="132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0.4016</w:t>
            </w:r>
            <w:r/>
          </w:p>
        </w:tc>
        <w:tc>
          <w:tcPr>
            <w:tcW w:w="134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15" w:firstLine="0"/>
            </w:pPr>
            <w:r>
              <w:rPr>
                <w:sz w:val="18"/>
              </w:rPr>
              <w:t>0.2470</w:t>
            </w:r>
            <w:r/>
          </w:p>
        </w:tc>
        <w:tc>
          <w:tcPr>
            <w:tcW w:w="1340"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firstLine="0"/>
            </w:pPr>
            <w:r>
              <w:rPr>
                <w:sz w:val="18"/>
              </w:rPr>
              <w:t>0.2481</w:t>
            </w:r>
            <w:r/>
          </w:p>
        </w:tc>
      </w:tr>
    </w:tbl>
    <w:p>
      <w:pPr/>
      <w:r>
        <w:t>*The final USD flexible-horizon holdout contains only Low-risk labels. Its 100% accuracy is not evidence that the model distinguishes all three classes.</w:t>
      </w:r>
    </w:p>
    <w:p>
      <w:pPr>
        <w:pStyle w:val="Heading2"/>
      </w:pPr>
      <w:r>
        <w:t>Automated Software Testing</w:t>
      </w:r>
    </w:p>
    <w:p>
      <w:pPr/>
      <w:r>
        <w:t>All 42 automated software tests passed. They cover the application, data validation, 1-to-100-day feature construction, payment-date limits, model outputs, reliability gate, forward-only evaluation, API, frontend, and account security foundations.</w:t>
      </w:r>
    </w:p>
    <w:p>
      <w:pPr>
        <w:pStyle w:val="Heading2"/>
      </w:pPr>
      <w:r>
        <w:t>Evaluation Conclusion</w:t>
      </w:r>
    </w:p>
    <w:p>
      <w:pPr/>
      <w:r>
        <w:t>None of the three flexible classifiers passed the declared reliability gate. The software is a functioning experimental prototype, but the current evidence does not support operational financial reliance.</w:t>
      </w:r>
    </w:p>
    <w:p w:rsidR="0053633E" w:rsidRDefault="00BD38B1">
      <w:pPr>
        <w:spacing w:after="422" w:line="259" w:lineRule="auto"/>
        <w:ind w:left="0" w:firstLine="0"/>
      </w:pPr>
      <w:r>
        <w:t xml:space="preserve"> </w:t>
      </w:r>
    </w:p>
    <w:p w:rsidR="0053633E" w:rsidRDefault="00BD38B1">
      <w:pPr>
        <w:pStyle w:val="Heading1"/>
        <w:ind w:left="342" w:hanging="357"/>
      </w:pPr>
      <w:r>
        <w:t>Model Selection Outcome</w:t>
      </w:r>
    </w:p>
    <w:p w:rsidR="0053633E" w:rsidRDefault="00BD38B1">
      <w:pPr>
        <w:spacing w:after="123"/>
        <w:ind w:left="-5"/>
      </w:pPr>
      <w:r>
        <w:t>Logistic Regression was selected for USD, XGBoost for EUR, and Random Forest for KES. Selection used mean rolling balanced accuracy, then Macro F1 and accuracy.</w:t>
      </w:r>
      <w:r/>
      <w:r/>
    </w:p>
    <w:p w:rsidR="0053633E" w:rsidRDefault="00BD38B1">
      <w:pPr>
        <w:numPr>
          <w:ilvl w:val="0"/>
          <w:numId w:val="1"/>
        </w:numPr>
        <w:ind w:hanging="360"/>
      </w:pPr>
      <w:r>
        <w:t>Pooled rolling balanced accuracy was 0.4472 for USD, 0.2987 for EUR, and 0.4016 for KES. Macro F1 was also below the declared gate for all three.</w:t>
      </w:r>
    </w:p>
    <w:p w:rsidR="0053633E" w:rsidRDefault="00BD38B1">
      <w:pPr>
        <w:numPr>
          <w:ilvl w:val="0"/>
          <w:numId w:val="1"/>
        </w:numPr>
        <w:ind w:hanging="360"/>
      </w:pPr>
      <w:r>
        <w:t>EUR/RWF and KES/RWF were generally close to the one-third balanced-accuracy reference point for a three-class task, showing limited separation between Low, Medium, and High risk with the current features.</w:t>
      </w:r>
    </w:p>
    <w:p w:rsidR="0053633E" w:rsidRDefault="00BD38B1">
      <w:pPr>
        <w:numPr>
          <w:ilvl w:val="0"/>
          <w:numId w:val="1"/>
        </w:numPr>
        <w:ind w:hanging="360"/>
      </w:pPr>
      <w:r>
        <w:t>More complex algorithms did not reliably overcome the limited predictive signal in rate-history features. Algorithm choice alone is therefore not the main solution to the reliability problem.</w:t>
      </w:r>
    </w:p>
    <w:p w:rsidR="0053633E" w:rsidRDefault="00BD38B1">
      <w:pPr>
        <w:numPr>
          <w:ilvl w:val="0"/>
          <w:numId w:val="1"/>
        </w:numPr>
        <w:spacing w:after="419"/>
        <w:ind w:hanging="360"/>
      </w:pPr>
      <w:r>
        <w:t>The pre-declared project gate requires mean balanced accuracy of at least 0.55, mean Macro F1 of at least 0.45, and at least 0.05 improvement over the baseline. All current models remain experimental.</w:t>
      </w:r>
      <w:r/>
    </w:p>
    <w:p w:rsidR="0053633E" w:rsidRDefault="00BD38B1">
      <w:pPr>
        <w:pStyle w:val="Heading1"/>
        <w:ind w:left="374" w:hanging="389"/>
      </w:pPr>
      <w:r>
        <w:t>Uncalibrated Model Score</w:t>
      </w:r>
    </w:p>
    <w:p w:rsidR="0053633E" w:rsidRDefault="00BD38B1">
      <w:pPr>
        <w:ind w:left="-5"/>
      </w:pPr>
      <w:r>
        <w:t>The classifier returns relative scores for Low, Medium, and High. The largest score accompanies the selected class, but it has not been shown to equal the real-world frequency of that outcome.</w:t>
      </w:r>
      <w:r/>
    </w:p>
    <w:tbl>
      <w:tblPr>
        <w:tblStyle w:val="TableGrid"/>
        <w:tblW w:w="9360" w:type="dxa"/>
        <w:tblInd w:w="8" w:type="dxa"/>
        <w:tblCellMar>
          <w:top w:w="5" w:type="dxa"/>
          <w:left w:w="110" w:type="dxa"/>
          <w:bottom w:w="0" w:type="dxa"/>
          <w:right w:w="115" w:type="dxa"/>
        </w:tblCellMar>
        <w:tblLook w:val="04A0" w:firstRow="1" w:lastRow="0" w:firstColumn="1" w:lastColumn="0" w:noHBand="0" w:noVBand="1"/>
      </w:tblPr>
      <w:tblGrid>
        <w:gridCol w:w="4683"/>
        <w:gridCol w:w="4678"/>
      </w:tblGrid>
      <w:tr w:rsidR="0053633E">
        <w:trPr>
          <w:trHeight w:val="258"/>
        </w:trPr>
        <w:tc>
          <w:tcPr>
            <w:tcW w:w="4683" w:type="dxa"/>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3" w:firstLine="0"/>
            </w:pPr>
            <w:r>
              <w:rPr>
                <w:b/>
                <w:sz w:val="18"/>
              </w:rPr>
              <w:t>Item</w:t>
            </w:r>
            <w:r/>
          </w:p>
        </w:tc>
        <w:tc>
          <w:tcPr>
            <w:tcW w:w="4678" w:type="dxa"/>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0" w:firstLine="0"/>
            </w:pPr>
            <w:r>
              <w:rPr>
                <w:b/>
                <w:sz w:val="18"/>
              </w:rPr>
              <w:t>Description</w:t>
            </w:r>
            <w:r/>
          </w:p>
        </w:tc>
      </w:tr>
      <w:tr w:rsidR="0053633E">
        <w:trPr>
          <w:trHeight w:val="243"/>
        </w:trPr>
        <w:tc>
          <w:tcPr>
            <w:tcW w:w="4683"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3" w:firstLine="0"/>
            </w:pPr>
            <w:r>
              <w:rPr>
                <w:sz w:val="18"/>
              </w:rPr>
              <w:t>Model-score output</w:t>
            </w:r>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Example display: ≈ 92% for the selected class.</w:t>
            </w:r>
            <w:r/>
          </w:p>
        </w:tc>
      </w:tr>
      <w:tr w:rsidR="0053633E">
        <w:trPr>
          <w:trHeight w:val="50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Selected class</w:t>
            </w:r>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The class with the largest model score.</w:t>
            </w:r>
            <w:r>
              <w:rPr>
                <w:sz w:val="18"/>
              </w:rPr>
            </w:r>
            <w:r/>
          </w:p>
        </w:tc>
      </w:tr>
      <w:tr w:rsidR="0053633E">
        <w:trPr>
          <w:trHeight w:val="50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Top model score</w:t>
            </w:r>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An uncalibrated relative score, not a verified outcome probability.</w:t>
            </w:r>
            <w:r/>
          </w:p>
        </w:tc>
      </w:tr>
      <w:tr w:rsidR="0053633E">
        <w:trPr>
          <w:trHeight w:val="500"/>
        </w:trPr>
        <w:tc>
          <w:tcPr>
            <w:tcW w:w="4683" w:type="dxa"/>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Why it matters</w:t>
            </w:r>
            <w:r/>
          </w:p>
        </w:tc>
        <w:tc>
          <w:tcPr>
            <w:tcW w:w="4678" w:type="dxa"/>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It exposes how strongly the model favors one class while retaining an explicit reliability warning.</w:t>
            </w:r>
            <w:r/>
          </w:p>
        </w:tc>
      </w:tr>
    </w:tbl>
    <w:p w:rsidR="0053633E" w:rsidRDefault="00BD38B1">
      <w:pPr>
        <w:spacing w:after="419"/>
        <w:ind w:left="-5"/>
      </w:pPr>
      <w:r>
        <w:t>The interface therefore labels this value an uncalibrated model score, not a likelihood probability or confidence guarantee.</w:t>
      </w:r>
      <w:r/>
    </w:p>
    <w:p w:rsidR="0053633E" w:rsidRDefault="00BD38B1">
      <w:pPr>
        <w:pStyle w:val="Heading1"/>
        <w:ind w:left="359" w:hanging="374"/>
      </w:pPr>
      <w:r>
        <w:t xml:space="preserve">App Workflow and Decision Support </w:t>
      </w:r>
    </w:p>
    <w:p w:rsidR="0053633E" w:rsidRDefault="00BD38B1">
      <w:pPr>
        <w:numPr>
          <w:ilvl w:val="0"/>
          <w:numId w:val="2"/>
        </w:numPr>
        <w:ind w:hanging="360"/>
      </w:pPr>
      <w:r>
        <w:t>The dashboard shows the latest official rate and data freshness for the selected USD, EUR, or KES currency pair.</w:t>
      </w:r>
      <w:r/>
    </w:p>
    <w:p w:rsidR="0053633E" w:rsidRDefault="00BD38B1">
      <w:pPr>
        <w:numPr>
          <w:ilvl w:val="0"/>
          <w:numId w:val="2"/>
        </w:numPr>
        <w:ind w:hanging="360"/>
      </w:pPr>
      <w:r>
        <w:t>The user opens Payment Check, selects the supplier-payment currency, and enters the invoice amount.</w:t>
      </w:r>
    </w:p>
    <w:p w:rsidR="0053633E" w:rsidRDefault="00BD38B1">
      <w:pPr>
        <w:numPr>
          <w:ilvl w:val="0"/>
          <w:numId w:val="2"/>
        </w:numPr>
        <w:ind w:hanging="360"/>
      </w:pPr>
      <w:r>
        <w:t>The user selects the expected invoice payment date. The browser accepts tomorrow through 100 days ahead, and the API independently enforces the same limit using the current Rwanda date.</w:t>
      </w:r>
    </w:p>
    <w:p w:rsidR="0053633E" w:rsidRDefault="00BD38B1">
      <w:pPr>
        <w:numPr>
          <w:ilvl w:val="0"/>
          <w:numId w:val="2"/>
        </w:numPr>
        <w:ind w:hanging="360"/>
      </w:pPr>
      <w:r>
        <w:t xml:space="preserve">The frontend sends the request to the FastAPI /api/predict-risk endpoint. </w:t>
      </w:r>
    </w:p>
    <w:p w:rsidR="0053633E" w:rsidRDefault="00BD38B1">
      <w:pPr>
        <w:numPr>
          <w:ilvl w:val="0"/>
          <w:numId w:val="2"/>
        </w:numPr>
        <w:ind w:hanging="360"/>
      </w:pPr>
      <w:r>
        <w:t>The backend calculates the number of calendar days until payment, loads the selected currency's flexible model, and supplies horizon_days with the latest official-posting features.</w:t>
      </w:r>
      <w:r/>
    </w:p>
    <w:p w:rsidR="0053633E" w:rsidRDefault="00BD38B1">
      <w:pPr>
        <w:numPr>
          <w:ilvl w:val="0"/>
          <w:numId w:val="2"/>
        </w:numPr>
        <w:ind w:hanging="360"/>
      </w:pPr>
      <w:r>
        <w:t>The model returns a risk class and uncalibrated class scores. The interface prefixes the leading score with an approximation sign, such as ≈ 72%, and shows that the model is experimental.</w:t>
      </w:r>
    </w:p>
    <w:p w:rsidR="0053633E" w:rsidRDefault="00BD38B1">
      <w:pPr>
        <w:numPr>
          <w:ilvl w:val="0"/>
          <w:numId w:val="2"/>
        </w:numPr>
        <w:ind w:hanging="360"/>
      </w:pPr>
      <w:r>
        <w:t>The application calculates the estimated RWF cost and a possible additional cost for the selected currency.</w:t>
      </w:r>
    </w:p>
    <w:p w:rsidR="0053633E" w:rsidRDefault="00BD38B1">
      <w:pPr>
        <w:numPr>
          <w:ilvl w:val="0"/>
          <w:numId w:val="2"/>
        </w:numPr>
        <w:spacing w:after="123"/>
        <w:ind w:hanging="360"/>
      </w:pPr>
      <w:r>
        <w:t>The app displays key drivers and turns the result into practical recommendations.</w:t>
      </w:r>
      <w:r>
        <w:t xml:space="preserve"> </w:t>
      </w:r>
    </w:p>
    <w:p w:rsidR="0053633E" w:rsidRDefault="00BD38B1">
      <w:pPr>
        <w:spacing w:after="419"/>
        <w:ind w:left="-5"/>
      </w:pPr>
      <w:r>
        <w:t xml:space="preserve">The recommendation logic translates model output into business actions. Low risk suggests normal monitoring. Medium risk suggests close monitoring and a buffer. High risk suggests stronger caution such as preparing a buffer, splitting payment, reviewing </w:t>
      </w:r>
      <w:r>
        <w:t xml:space="preserve">pricing, or considering earlier payment. </w:t>
      </w:r>
    </w:p>
    <w:p w:rsidR="0053633E" w:rsidRDefault="00BD38B1">
      <w:pPr>
        <w:pStyle w:val="Heading1"/>
        <w:spacing w:after="0"/>
        <w:ind w:left="498" w:hanging="513"/>
      </w:pPr>
      <w:r>
        <w:t xml:space="preserve">Assumptions, Limitations, and Future Work </w:t>
      </w:r>
    </w:p>
    <w:tbl>
      <w:tblPr>
        <w:tblStyle w:val="TableGrid"/>
        <w:tblW w:w="9360" w:type="dxa"/>
        <w:tblInd w:w="8" w:type="dxa"/>
        <w:tblCellMar>
          <w:top w:w="5" w:type="dxa"/>
          <w:left w:w="110" w:type="dxa"/>
          <w:bottom w:w="0" w:type="dxa"/>
          <w:right w:w="91" w:type="dxa"/>
        </w:tblCellMar>
        <w:tblLook w:val="04A0" w:firstRow="1" w:lastRow="0" w:firstColumn="1" w:lastColumn="0" w:noHBand="0" w:noVBand="1"/>
      </w:tblPr>
      <w:tblGrid>
        <w:gridCol w:w="2"/>
        <w:gridCol w:w="4681"/>
        <w:gridCol w:w="2"/>
        <w:gridCol w:w="4676"/>
        <w:gridCol w:w="2"/>
      </w:tblGrid>
      <w:tr w:rsidR="0053633E">
        <w:trPr>
          <w:gridAfter w:val="1"/>
          <w:trHeight w:val="259"/>
        </w:trPr>
        <w:tc>
          <w:tcPr>
            <w:tcW w:w="4683" w:type="dxa"/>
            <w:gridSpan w:val="2"/>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3" w:firstLine="0"/>
            </w:pPr>
            <w:r>
              <w:rPr>
                <w:b/>
                <w:sz w:val="18"/>
              </w:rPr>
              <w:t>Item</w:t>
            </w:r>
            <w:r>
              <w:t xml:space="preserve"> </w:t>
            </w:r>
          </w:p>
        </w:tc>
        <w:tc>
          <w:tcPr>
            <w:tcW w:w="4678" w:type="dxa"/>
            <w:gridSpan w:val="2"/>
            <w:tcBorders>
              <w:top w:val="single" w:sz="8" w:space="0" w:color="DADCE0"/>
              <w:left w:val="single" w:sz="8" w:space="0" w:color="DADCE0"/>
              <w:bottom w:val="single" w:sz="8" w:space="0" w:color="DADCE0"/>
              <w:right w:val="single" w:sz="8" w:space="0" w:color="DADCE0"/>
            </w:tcBorders>
            <w:shd w:val="clear" w:color="auto" w:fill="F2F4F7"/>
          </w:tcPr>
          <w:p w:rsidR="0053633E" w:rsidRDefault="00BD38B1">
            <w:pPr>
              <w:spacing w:after="0" w:line="259" w:lineRule="auto"/>
              <w:ind w:left="0" w:firstLine="0"/>
            </w:pPr>
            <w:r>
              <w:rPr>
                <w:b/>
                <w:sz w:val="18"/>
              </w:rPr>
              <w:t>Description</w:t>
            </w:r>
            <w:r>
              <w:t xml:space="preserve"> </w:t>
            </w:r>
          </w:p>
        </w:tc>
      </w:tr>
      <w:tr w:rsidR="0053633E">
        <w:trPr>
          <w:gridAfter w:val="1"/>
          <w:trHeight w:val="501"/>
        </w:trPr>
        <w:tc>
          <w:tcPr>
            <w:tcW w:w="4683" w:type="dxa"/>
            <w:gridSpan w:val="2"/>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Assumption 1</w:t>
            </w:r>
            <w:r>
              <w:t xml:space="preserve"> </w:t>
            </w:r>
          </w:p>
        </w:tc>
        <w:tc>
          <w:tcPr>
            <w:tcW w:w="4678" w:type="dxa"/>
            <w:gridSpan w:val="2"/>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Recent exchange-rate behavior can help classify short-term risk.</w:t>
            </w:r>
            <w:r>
              <w:t xml:space="preserve"> </w:t>
            </w:r>
          </w:p>
        </w:tc>
      </w:tr>
      <w:tr w:rsidR="0053633E">
        <w:trPr>
          <w:gridAfter w:val="1"/>
          <w:trHeight w:val="480"/>
        </w:trPr>
        <w:tc>
          <w:tcPr>
            <w:tcW w:w="4683" w:type="dxa"/>
            <w:gridSpan w:val="2"/>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Assumption 2</w:t>
            </w:r>
            <w:r/>
          </w:p>
        </w:tc>
        <w:tc>
          <w:tcPr>
            <w:tcW w:w="4678" w:type="dxa"/>
            <w:gridSpan w:val="2"/>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USD, EUR, and KES represent useful supplier-payment currencies for the current prototype.</w:t>
            </w:r>
            <w:r>
              <w:rPr>
                <w:sz w:val="18"/>
              </w:rPr>
            </w:r>
            <w:r/>
          </w:p>
        </w:tc>
      </w:tr>
      <w:tr w:rsidR="0053633E">
        <w:trPr>
          <w:gridAfter w:val="1"/>
          <w:trHeight w:val="500"/>
        </w:trPr>
        <w:tc>
          <w:tcPr>
            <w:tcW w:w="4683" w:type="dxa"/>
            <w:gridSpan w:val="2"/>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3" w:firstLine="0"/>
            </w:pPr>
            <w:r>
              <w:rPr>
                <w:sz w:val="18"/>
              </w:rPr>
              <w:t>Preprocessing decision</w:t>
            </w:r>
            <w:r/>
          </w:p>
        </w:tc>
        <w:tc>
          <w:tcPr>
            <w:tcW w:w="4678" w:type="dxa"/>
            <w:gridSpan w:val="2"/>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Model training excludes forward-filled non-posting dates; the daily calendar is display-only.</w:t>
            </w:r>
            <w:r/>
          </w:p>
        </w:tc>
      </w:tr>
      <w:tr w:rsidR="0053633E">
        <w:trPr>
          <w:gridAfter w:val="1"/>
          <w:trHeight w:val="260"/>
        </w:trPr>
        <w:tc>
          <w:tcPr>
            <w:tcW w:w="4683" w:type="dxa"/>
            <w:gridSpan w:val="2"/>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3" w:firstLine="0"/>
            </w:pPr>
            <w:r>
              <w:rPr>
                <w:sz w:val="18"/>
              </w:rPr>
              <w:t>Limitation 1</w:t>
            </w:r>
            <w:r/>
          </w:p>
        </w:tc>
        <w:tc>
          <w:tcPr>
            <w:tcW w:w="4678" w:type="dxa"/>
            <w:gridSpan w:val="2"/>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The current prototype supports USD, EUR, and KES only, rather than every currency used by Rwanda-based importers.</w:t>
            </w:r>
            <w:r/>
          </w:p>
        </w:tc>
      </w:tr>
      <w:tr w:rsidR="0053633E">
        <w:trPr>
          <w:gridBefore w:val="1"/>
          <w:trHeight w:val="720"/>
        </w:trPr>
        <w:tc>
          <w:tcPr>
            <w:tcW w:w="4683" w:type="dxa"/>
            <w:gridSpan w:val="2"/>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0" w:firstLine="0"/>
            </w:pPr>
            <w:r>
              <w:rPr>
                <w:sz w:val="18"/>
              </w:rPr>
              <w:t>Limitation 2</w:t>
            </w:r>
            <w:r/>
          </w:p>
        </w:tc>
        <w:tc>
          <w:tcPr>
            <w:tcW w:w="4678" w:type="dxa"/>
            <w:gridSpan w:val="2"/>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No current classifier passes the project-defined reliability gate; final USD holdouts also contain only Low risk.</w:t>
            </w:r>
            <w:r>
              <w:rPr>
                <w:sz w:val="18"/>
              </w:rPr>
            </w:r>
            <w:r/>
          </w:p>
        </w:tc>
      </w:tr>
      <w:tr w:rsidR="0053633E">
        <w:trPr>
          <w:gridBefore w:val="1"/>
          <w:trHeight w:val="500"/>
        </w:trPr>
        <w:tc>
          <w:tcPr>
            <w:tcW w:w="4683" w:type="dxa"/>
            <w:gridSpan w:val="2"/>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0" w:firstLine="0"/>
            </w:pPr>
            <w:r>
              <w:rPr>
                <w:sz w:val="18"/>
              </w:rPr>
              <w:t>Limitation 3</w:t>
            </w:r>
            <w:r/>
          </w:p>
        </w:tc>
        <w:tc>
          <w:tcPr>
            <w:tcW w:w="4678" w:type="dxa"/>
            <w:gridSpan w:val="2"/>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The tool provides experimental decision support, not guaranteed financial, forex-trading, or professional advice.</w:t>
            </w:r>
            <w:r/>
          </w:p>
        </w:tc>
      </w:tr>
      <w:tr w:rsidR="0053633E">
        <w:trPr>
          <w:gridBefore w:val="1"/>
          <w:trHeight w:val="740"/>
        </w:trPr>
        <w:tc>
          <w:tcPr>
            <w:tcW w:w="4683" w:type="dxa"/>
            <w:gridSpan w:val="2"/>
            <w:tcBorders>
              <w:top w:val="single" w:sz="8" w:space="0" w:color="DADCE0"/>
              <w:left w:val="single" w:sz="8" w:space="0" w:color="DADCE0"/>
              <w:bottom w:val="single" w:sz="8" w:space="0" w:color="DADCE0"/>
              <w:right w:val="single" w:sz="8" w:space="0" w:color="DADCE0"/>
            </w:tcBorders>
            <w:vAlign w:val="center"/>
          </w:tcPr>
          <w:p w:rsidR="0053633E" w:rsidRDefault="00BD38B1">
            <w:pPr>
              <w:spacing w:after="0" w:line="259" w:lineRule="auto"/>
              <w:ind w:left="0" w:firstLine="0"/>
            </w:pPr>
            <w:r>
              <w:rPr>
                <w:sz w:val="18"/>
              </w:rPr>
              <w:t>Future work</w:t>
            </w:r>
            <w:r/>
          </w:p>
        </w:tc>
        <w:tc>
          <w:tcPr>
            <w:tcW w:w="4678" w:type="dxa"/>
            <w:gridSpan w:val="2"/>
            <w:tcBorders>
              <w:top w:val="single" w:sz="8" w:space="0" w:color="DADCE0"/>
              <w:left w:val="single" w:sz="8" w:space="0" w:color="DADCE0"/>
              <w:bottom w:val="single" w:sz="8" w:space="0" w:color="DADCE0"/>
              <w:right w:val="single" w:sz="8" w:space="0" w:color="DADCE0"/>
            </w:tcBorders>
          </w:tcPr>
          <w:p w:rsidR="0053633E" w:rsidRDefault="00BD38B1">
            <w:pPr>
              <w:spacing w:after="0" w:line="259" w:lineRule="auto"/>
              <w:ind w:left="0" w:firstLine="0"/>
            </w:pPr>
            <w:r>
              <w:rPr>
                <w:sz w:val="18"/>
              </w:rPr>
              <w:t>Test publication-lagged macro features, collect new outcomes, calibrate scores, and test importer comprehension directly.</w:t>
            </w:r>
            <w:r>
              <w:rPr>
                <w:sz w:val="18"/>
              </w:rPr>
            </w:r>
            <w:r/>
          </w:p>
        </w:tc>
      </w:tr>
    </w:tbl>
    <w:p w:rsidR="0053633E" w:rsidRDefault="00BD38B1">
      <w:pPr>
        <w:pStyle w:val="Heading1"/>
        <w:ind w:left="410" w:hanging="425"/>
      </w:pPr>
      <w:r>
        <w:t xml:space="preserve">Repository and Installation Requirements </w:t>
      </w:r>
    </w:p>
    <w:p w:rsidR="0053633E" w:rsidRDefault="00BD38B1">
      <w:pPr>
        <w:spacing w:after="123"/>
        <w:ind w:left="-5"/>
      </w:pPr>
      <w:r>
        <w:t xml:space="preserve">To meet the technical submission rubric, the repository should be professional, reproducible, and easy for an evaluator to run. </w:t>
      </w:r>
    </w:p>
    <w:p w:rsidR="0053633E" w:rsidRDefault="00BD38B1">
      <w:pPr>
        <w:numPr>
          <w:ilvl w:val="0"/>
          <w:numId w:val="3"/>
        </w:numPr>
        <w:ind w:hanging="360"/>
      </w:pPr>
      <w:r>
        <w:t>Include a clear README with project summar</w:t>
      </w:r>
      <w:r>
        <w:t xml:space="preserve">y, problem statement, dataset description, model explanation, screenshots, demo link, and video link. </w:t>
      </w:r>
    </w:p>
    <w:p w:rsidR="0053633E" w:rsidRDefault="00BD38B1">
      <w:pPr>
        <w:numPr>
          <w:ilvl w:val="0"/>
          <w:numId w:val="3"/>
        </w:numPr>
        <w:ind w:hanging="360"/>
      </w:pPr>
      <w:r>
        <w:t xml:space="preserve">Provide installation commands such as pip install -r requirements.txt and python run_backend.py. </w:t>
      </w:r>
    </w:p>
    <w:p w:rsidR="0053633E" w:rsidRDefault="00BD38B1">
      <w:pPr>
        <w:numPr>
          <w:ilvl w:val="0"/>
          <w:numId w:val="3"/>
        </w:numPr>
        <w:ind w:hanging="360"/>
      </w:pPr>
      <w:r>
        <w:t xml:space="preserve">Document environment variables if any are required. </w:t>
      </w:r>
    </w:p>
    <w:p w:rsidR="0053633E" w:rsidRDefault="00BD38B1">
      <w:pPr>
        <w:numPr>
          <w:ilvl w:val="0"/>
          <w:numId w:val="3"/>
        </w:numPr>
        <w:ind w:hanging="360"/>
      </w:pPr>
      <w:r>
        <w:t xml:space="preserve">Use meaningful commits such as data preparation, feature engineering, model training, API integration, frontend implementation, and feedback form. </w:t>
      </w:r>
    </w:p>
    <w:p w:rsidR="0053633E" w:rsidRDefault="00BD38B1">
      <w:pPr>
        <w:numPr>
          <w:ilvl w:val="0"/>
          <w:numId w:val="3"/>
        </w:numPr>
        <w:ind w:hanging="360"/>
      </w:pPr>
      <w:r>
        <w:t xml:space="preserve">Include folders for data, notebooks, models, backend, frontend, reports, and screenshots. </w:t>
      </w:r>
    </w:p>
    <w:p w:rsidR="0053633E" w:rsidRDefault="00BD38B1">
      <w:pPr>
        <w:numPr>
          <w:ilvl w:val="0"/>
          <w:numId w:val="3"/>
        </w:numPr>
        <w:spacing w:after="122"/>
        <w:ind w:hanging="360"/>
      </w:pPr>
      <w:r>
        <w:t xml:space="preserve">Avoid committing </w:t>
      </w:r>
      <w:r>
        <w:t xml:space="preserve">secrets, API keys, private participant data, or unnecessary cache files. </w:t>
      </w:r>
    </w:p>
    <w:p w:rsidR="0053633E" w:rsidRDefault="00BD38B1">
      <w:pPr>
        <w:spacing w:after="125" w:line="259" w:lineRule="auto"/>
        <w:ind w:left="0" w:firstLine="0"/>
      </w:pPr>
      <w:r>
        <w:t xml:space="preserve"> </w:t>
      </w:r>
    </w:p>
    <w:p w:rsidR="0053633E" w:rsidRDefault="00BD38B1">
      <w:pPr>
        <w:spacing w:after="125" w:line="259" w:lineRule="auto"/>
        <w:ind w:left="0" w:firstLine="0"/>
      </w:pPr>
      <w:r>
        <w:t xml:space="preserve"> </w:t>
      </w:r>
    </w:p>
    <w:p w:rsidR="0053633E" w:rsidRDefault="00BD38B1">
      <w:pPr>
        <w:spacing w:after="0" w:line="259" w:lineRule="auto"/>
        <w:ind w:left="360" w:firstLine="0"/>
      </w:pPr>
      <w:r>
        <w:t xml:space="preserve"> </w:t>
      </w:r>
    </w:p>
    <w:p>
      <w:pPr>
        <w:pStyle w:val="Heading1"/>
      </w:pPr>
      <w:r>
        <w:t>Defense Panel Response Addendum</w:t>
      </w:r>
    </w:p>
    <w:p>
      <w:r>
        <w:t>The revised problem statement does not claim that importers universally cannot interpret exchange-rate data. Available Rwanda-specific literature supports foreign-exchange exposure and constrained firm capacity, but not that stronger importer-specific interpretation claim. Importer comprehension will be tested empirically in future user research.</w:t>
      </w:r>
    </w:p>
    <w:p>
      <w:r>
        <w:t>Future macro-feature experiments will use inflation, policy, fuel/commodity, and trade variables only after their real publication dates. Low-frequency values may be carried forward with an age indicator, but never backfilled into dates when they were not yet public.</w:t>
      </w:r>
    </w:p>
    <w:sectPr w:rsidR="0053633E">
      <w:pgSz w:w="12240" w:h="15840"/>
      <w:pgMar w:top="1440" w:right="1450" w:bottom="163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682559"/>
    <w:multiLevelType w:val="hybridMultilevel"/>
    <w:tmpl w:val="11D8102E"/>
    <w:lvl w:ilvl="0" w:tplc="14FC4CF0">
      <w:start w:val="1"/>
      <w:numFmt w:val="decimal"/>
      <w:pStyle w:val="Heading1"/>
      <w:lvlText w:val="%1."/>
      <w:lvlJc w:val="left"/>
      <w:pPr>
        <w:ind w:left="0"/>
      </w:pPr>
      <w:rPr>
        <w:rFonts w:ascii="Calibri" w:eastAsia="Calibri" w:hAnsi="Calibri" w:cs="Calibri"/>
        <w:b/>
        <w:bCs/>
        <w:i w:val="0"/>
        <w:strike w:val="0"/>
        <w:dstrike w:val="0"/>
        <w:color w:val="2E74B5"/>
        <w:sz w:val="32"/>
        <w:szCs w:val="32"/>
        <w:u w:val="none" w:color="000000"/>
        <w:bdr w:val="none" w:sz="0" w:space="0" w:color="auto"/>
        <w:shd w:val="clear" w:color="auto" w:fill="auto"/>
        <w:vertAlign w:val="baseline"/>
      </w:rPr>
    </w:lvl>
    <w:lvl w:ilvl="1" w:tplc="ED6E2D06">
      <w:start w:val="1"/>
      <w:numFmt w:val="lowerLetter"/>
      <w:lvlText w:val="%2"/>
      <w:lvlJc w:val="left"/>
      <w:pPr>
        <w:ind w:left="1080"/>
      </w:pPr>
      <w:rPr>
        <w:rFonts w:ascii="Calibri" w:eastAsia="Calibri" w:hAnsi="Calibri" w:cs="Calibri"/>
        <w:b/>
        <w:bCs/>
        <w:i w:val="0"/>
        <w:strike w:val="0"/>
        <w:dstrike w:val="0"/>
        <w:color w:val="2E74B5"/>
        <w:sz w:val="32"/>
        <w:szCs w:val="32"/>
        <w:u w:val="none" w:color="000000"/>
        <w:bdr w:val="none" w:sz="0" w:space="0" w:color="auto"/>
        <w:shd w:val="clear" w:color="auto" w:fill="auto"/>
        <w:vertAlign w:val="baseline"/>
      </w:rPr>
    </w:lvl>
    <w:lvl w:ilvl="2" w:tplc="B4F0D850">
      <w:start w:val="1"/>
      <w:numFmt w:val="lowerRoman"/>
      <w:lvlText w:val="%3"/>
      <w:lvlJc w:val="left"/>
      <w:pPr>
        <w:ind w:left="1800"/>
      </w:pPr>
      <w:rPr>
        <w:rFonts w:ascii="Calibri" w:eastAsia="Calibri" w:hAnsi="Calibri" w:cs="Calibri"/>
        <w:b/>
        <w:bCs/>
        <w:i w:val="0"/>
        <w:strike w:val="0"/>
        <w:dstrike w:val="0"/>
        <w:color w:val="2E74B5"/>
        <w:sz w:val="32"/>
        <w:szCs w:val="32"/>
        <w:u w:val="none" w:color="000000"/>
        <w:bdr w:val="none" w:sz="0" w:space="0" w:color="auto"/>
        <w:shd w:val="clear" w:color="auto" w:fill="auto"/>
        <w:vertAlign w:val="baseline"/>
      </w:rPr>
    </w:lvl>
    <w:lvl w:ilvl="3" w:tplc="FFF2A7A6">
      <w:start w:val="1"/>
      <w:numFmt w:val="decimal"/>
      <w:lvlText w:val="%4"/>
      <w:lvlJc w:val="left"/>
      <w:pPr>
        <w:ind w:left="2520"/>
      </w:pPr>
      <w:rPr>
        <w:rFonts w:ascii="Calibri" w:eastAsia="Calibri" w:hAnsi="Calibri" w:cs="Calibri"/>
        <w:b/>
        <w:bCs/>
        <w:i w:val="0"/>
        <w:strike w:val="0"/>
        <w:dstrike w:val="0"/>
        <w:color w:val="2E74B5"/>
        <w:sz w:val="32"/>
        <w:szCs w:val="32"/>
        <w:u w:val="none" w:color="000000"/>
        <w:bdr w:val="none" w:sz="0" w:space="0" w:color="auto"/>
        <w:shd w:val="clear" w:color="auto" w:fill="auto"/>
        <w:vertAlign w:val="baseline"/>
      </w:rPr>
    </w:lvl>
    <w:lvl w:ilvl="4" w:tplc="20CA3C84">
      <w:start w:val="1"/>
      <w:numFmt w:val="lowerLetter"/>
      <w:lvlText w:val="%5"/>
      <w:lvlJc w:val="left"/>
      <w:pPr>
        <w:ind w:left="3240"/>
      </w:pPr>
      <w:rPr>
        <w:rFonts w:ascii="Calibri" w:eastAsia="Calibri" w:hAnsi="Calibri" w:cs="Calibri"/>
        <w:b/>
        <w:bCs/>
        <w:i w:val="0"/>
        <w:strike w:val="0"/>
        <w:dstrike w:val="0"/>
        <w:color w:val="2E74B5"/>
        <w:sz w:val="32"/>
        <w:szCs w:val="32"/>
        <w:u w:val="none" w:color="000000"/>
        <w:bdr w:val="none" w:sz="0" w:space="0" w:color="auto"/>
        <w:shd w:val="clear" w:color="auto" w:fill="auto"/>
        <w:vertAlign w:val="baseline"/>
      </w:rPr>
    </w:lvl>
    <w:lvl w:ilvl="5" w:tplc="EC08823C">
      <w:start w:val="1"/>
      <w:numFmt w:val="lowerRoman"/>
      <w:lvlText w:val="%6"/>
      <w:lvlJc w:val="left"/>
      <w:pPr>
        <w:ind w:left="3960"/>
      </w:pPr>
      <w:rPr>
        <w:rFonts w:ascii="Calibri" w:eastAsia="Calibri" w:hAnsi="Calibri" w:cs="Calibri"/>
        <w:b/>
        <w:bCs/>
        <w:i w:val="0"/>
        <w:strike w:val="0"/>
        <w:dstrike w:val="0"/>
        <w:color w:val="2E74B5"/>
        <w:sz w:val="32"/>
        <w:szCs w:val="32"/>
        <w:u w:val="none" w:color="000000"/>
        <w:bdr w:val="none" w:sz="0" w:space="0" w:color="auto"/>
        <w:shd w:val="clear" w:color="auto" w:fill="auto"/>
        <w:vertAlign w:val="baseline"/>
      </w:rPr>
    </w:lvl>
    <w:lvl w:ilvl="6" w:tplc="C70A4828">
      <w:start w:val="1"/>
      <w:numFmt w:val="decimal"/>
      <w:lvlText w:val="%7"/>
      <w:lvlJc w:val="left"/>
      <w:pPr>
        <w:ind w:left="4680"/>
      </w:pPr>
      <w:rPr>
        <w:rFonts w:ascii="Calibri" w:eastAsia="Calibri" w:hAnsi="Calibri" w:cs="Calibri"/>
        <w:b/>
        <w:bCs/>
        <w:i w:val="0"/>
        <w:strike w:val="0"/>
        <w:dstrike w:val="0"/>
        <w:color w:val="2E74B5"/>
        <w:sz w:val="32"/>
        <w:szCs w:val="32"/>
        <w:u w:val="none" w:color="000000"/>
        <w:bdr w:val="none" w:sz="0" w:space="0" w:color="auto"/>
        <w:shd w:val="clear" w:color="auto" w:fill="auto"/>
        <w:vertAlign w:val="baseline"/>
      </w:rPr>
    </w:lvl>
    <w:lvl w:ilvl="7" w:tplc="A1A49DD8">
      <w:start w:val="1"/>
      <w:numFmt w:val="lowerLetter"/>
      <w:lvlText w:val="%8"/>
      <w:lvlJc w:val="left"/>
      <w:pPr>
        <w:ind w:left="5400"/>
      </w:pPr>
      <w:rPr>
        <w:rFonts w:ascii="Calibri" w:eastAsia="Calibri" w:hAnsi="Calibri" w:cs="Calibri"/>
        <w:b/>
        <w:bCs/>
        <w:i w:val="0"/>
        <w:strike w:val="0"/>
        <w:dstrike w:val="0"/>
        <w:color w:val="2E74B5"/>
        <w:sz w:val="32"/>
        <w:szCs w:val="32"/>
        <w:u w:val="none" w:color="000000"/>
        <w:bdr w:val="none" w:sz="0" w:space="0" w:color="auto"/>
        <w:shd w:val="clear" w:color="auto" w:fill="auto"/>
        <w:vertAlign w:val="baseline"/>
      </w:rPr>
    </w:lvl>
    <w:lvl w:ilvl="8" w:tplc="F880F0A2">
      <w:start w:val="1"/>
      <w:numFmt w:val="lowerRoman"/>
      <w:lvlText w:val="%9"/>
      <w:lvlJc w:val="left"/>
      <w:pPr>
        <w:ind w:left="6120"/>
      </w:pPr>
      <w:rPr>
        <w:rFonts w:ascii="Calibri" w:eastAsia="Calibri" w:hAnsi="Calibri" w:cs="Calibri"/>
        <w:b/>
        <w:bCs/>
        <w:i w:val="0"/>
        <w:strike w:val="0"/>
        <w:dstrike w:val="0"/>
        <w:color w:val="2E74B5"/>
        <w:sz w:val="32"/>
        <w:szCs w:val="32"/>
        <w:u w:val="none" w:color="000000"/>
        <w:bdr w:val="none" w:sz="0" w:space="0" w:color="auto"/>
        <w:shd w:val="clear" w:color="auto" w:fill="auto"/>
        <w:vertAlign w:val="baseline"/>
      </w:rPr>
    </w:lvl>
  </w:abstractNum>
  <w:abstractNum w:abstractNumId="1" w15:restartNumberingAfterBreak="0">
    <w:nsid w:val="2D8D28F5"/>
    <w:multiLevelType w:val="hybridMultilevel"/>
    <w:tmpl w:val="FC609D8C"/>
    <w:lvl w:ilvl="0" w:tplc="A8B84108">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EAC66BE">
      <w:start w:val="1"/>
      <w:numFmt w:val="bullet"/>
      <w:lvlText w:val="o"/>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A84AC9C">
      <w:start w:val="1"/>
      <w:numFmt w:val="bullet"/>
      <w:lvlText w:val="▪"/>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8F1C9610">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9322BC0">
      <w:start w:val="1"/>
      <w:numFmt w:val="bullet"/>
      <w:lvlText w:val="o"/>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D64EE62E">
      <w:start w:val="1"/>
      <w:numFmt w:val="bullet"/>
      <w:lvlText w:val="▪"/>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2074621E">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ABE3F22">
      <w:start w:val="1"/>
      <w:numFmt w:val="bullet"/>
      <w:lvlText w:val="o"/>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DB69BB0">
      <w:start w:val="1"/>
      <w:numFmt w:val="bullet"/>
      <w:lvlText w:val="▪"/>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0366850"/>
    <w:multiLevelType w:val="hybridMultilevel"/>
    <w:tmpl w:val="4342BDAA"/>
    <w:lvl w:ilvl="0" w:tplc="9BB84BDC">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38A8558">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59A5F8E">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4CC69C96">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352F2A8">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0320E32">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F2BE2E7C">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D90BB84">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F885048">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5C26775E"/>
    <w:multiLevelType w:val="hybridMultilevel"/>
    <w:tmpl w:val="378C81D4"/>
    <w:lvl w:ilvl="0" w:tplc="310C04FE">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2F201BC">
      <w:start w:val="1"/>
      <w:numFmt w:val="bullet"/>
      <w:lvlText w:val="o"/>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6703E28">
      <w:start w:val="1"/>
      <w:numFmt w:val="bullet"/>
      <w:lvlText w:val="▪"/>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0718A0CA">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2462518">
      <w:start w:val="1"/>
      <w:numFmt w:val="bullet"/>
      <w:lvlText w:val="o"/>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004A308">
      <w:start w:val="1"/>
      <w:numFmt w:val="bullet"/>
      <w:lvlText w:val="▪"/>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FE7805D8">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718469BE">
      <w:start w:val="1"/>
      <w:numFmt w:val="bullet"/>
      <w:lvlText w:val="o"/>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1BEEBB00">
      <w:start w:val="1"/>
      <w:numFmt w:val="bullet"/>
      <w:lvlText w:val="▪"/>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633E"/>
    <w:rsid w:val="0053633E"/>
    <w:rsid w:val="00BD38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5:docId w15:val="{3D0A0668-18D8-43AB-9F01-078D875FB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3" w:line="262" w:lineRule="auto"/>
      <w:ind w:left="10" w:hanging="10"/>
    </w:pPr>
    <w:rPr>
      <w:rFonts w:ascii="Calibri" w:eastAsia="Calibri" w:hAnsi="Calibri" w:cs="Calibri"/>
      <w:color w:val="000000"/>
    </w:rPr>
  </w:style>
  <w:style w:type="paragraph" w:styleId="Heading1">
    <w:name w:val="heading 1"/>
    <w:next w:val="Normal"/>
    <w:link w:val="Heading1Char"/>
    <w:uiPriority w:val="9"/>
    <w:unhideWhenUsed/>
    <w:qFormat/>
    <w:pPr>
      <w:keepNext/>
      <w:keepLines/>
      <w:numPr>
        <w:numId w:val="4"/>
      </w:numPr>
      <w:spacing w:after="30"/>
      <w:ind w:left="10" w:hanging="10"/>
      <w:outlineLvl w:val="0"/>
    </w:pPr>
    <w:rPr>
      <w:rFonts w:ascii="Calibri" w:eastAsia="Calibri" w:hAnsi="Calibri" w:cs="Calibri"/>
      <w:b/>
      <w:color w:val="2E74B5"/>
      <w:sz w:val="32"/>
    </w:rPr>
  </w:style>
  <w:style w:type="paragraph" w:styleId="Heading2">
    <w:name w:val="heading 2"/>
    <w:next w:val="Normal"/>
    <w:link w:val="Heading2Char"/>
    <w:uiPriority w:val="9"/>
    <w:unhideWhenUsed/>
    <w:qFormat/>
    <w:pPr>
      <w:keepNext/>
      <w:keepLines/>
      <w:pBdr>
        <w:top w:val="single" w:sz="8" w:space="0" w:color="DADCE0"/>
        <w:left w:val="single" w:sz="8" w:space="0" w:color="DADCE0"/>
        <w:bottom w:val="single" w:sz="8" w:space="0" w:color="DADCE0"/>
        <w:right w:val="single" w:sz="8" w:space="0" w:color="DADCE0"/>
      </w:pBdr>
      <w:shd w:val="clear" w:color="auto" w:fill="F4F6F9"/>
      <w:spacing w:after="0"/>
      <w:ind w:left="120"/>
      <w:outlineLvl w:val="1"/>
    </w:pPr>
    <w:rPr>
      <w:rFonts w:ascii="Calibri" w:eastAsia="Calibri" w:hAnsi="Calibri" w:cs="Calibri"/>
      <w:b/>
      <w:color w:val="9B1C1C"/>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9B1C1C"/>
      <w:sz w:val="20"/>
    </w:rPr>
  </w:style>
  <w:style w:type="character" w:customStyle="1" w:styleId="Heading1Char">
    <w:name w:val="Heading 1 Char"/>
    <w:link w:val="Heading1"/>
    <w:rPr>
      <w:rFonts w:ascii="Calibri" w:eastAsia="Calibri" w:hAnsi="Calibri" w:cs="Calibri"/>
      <w:b/>
      <w:color w:val="2E74B5"/>
      <w:sz w:val="32"/>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1511</Words>
  <Characters>9056</Characters>
  <Application>Microsoft Office Word</Application>
  <DocSecurity>4</DocSecurity>
  <Lines>295</Lines>
  <Paragraphs>205</Paragraphs>
  <ScaleCrop>false</ScaleCrop>
  <Company/>
  <LinksUpToDate>false</LinksUpToDate>
  <CharactersWithSpaces>10578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FXGuard AI_Technical_Report By Liliane Gikundiro</dc:title>
  <dc:subject>Multicurrency exchange-rate risk forecasting, rolling-origin backtesting, and decision support</dc:subject>
  <dc:creator>Prime core</dc:creator>
  <cp:keywords/>
  <cp:lastModifiedBy>Prime core</cp:lastModifiedBy>
  <cp:revision>2</cp:revision>
  <dcterms:created xsi:type="dcterms:W3CDTF">2026-07-19T18:11:00Z</dcterms:created>
  <dcterms:modified xsi:type="dcterms:W3CDTF">2026-07-19T18:11:00Z</dcterms:modified>
  <dc:description>Updated with verified multicurrency backtesting and automated test results.</dc:description>
</cp:coreProperties>
</file>