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572C" w14:textId="68B36B57" w:rsidR="004A7F8E" w:rsidRDefault="004A7F8E" w:rsidP="004A7F8E">
      <w:pPr>
        <w:pStyle w:val="BodyText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BodyText"/>
        <w:ind w:right="4"/>
        <w:rPr>
          <w:sz w:val="26"/>
        </w:rPr>
      </w:pPr>
    </w:p>
    <w:p w14:paraId="1B18A14A" w14:textId="77777777" w:rsidR="004A7F8E" w:rsidRDefault="004A7F8E" w:rsidP="004A7F8E">
      <w:pPr>
        <w:pStyle w:val="BodyText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BodyText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BodyText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BodyText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BodyText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BodyText"/>
        <w:ind w:right="4"/>
        <w:rPr>
          <w:sz w:val="30"/>
        </w:rPr>
      </w:pPr>
    </w:p>
    <w:p w14:paraId="1FF436AF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BodyText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BodyText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BodyText"/>
        <w:spacing w:before="207"/>
        <w:ind w:right="4"/>
      </w:pPr>
    </w:p>
    <w:p w14:paraId="5EB75ACA" w14:textId="147BDB71" w:rsidR="004A7F8E" w:rsidRDefault="004A7F8E" w:rsidP="004A7F8E">
      <w:pPr>
        <w:pStyle w:val="BodyText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BodyText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BodyText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BodyText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Hyperlink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3178E1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Hyperlink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3178E1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Hyperlink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 xml:space="preserve">Описание </w:t>
            </w:r>
            <w:r w:rsidR="004A7F8E" w:rsidRPr="005B7E4A">
              <w:rPr>
                <w:rStyle w:val="Hyperlink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3178E1" w:rsidP="001663A7">
          <w:pPr>
            <w:pStyle w:val="TOC1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Hyperlink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Hyperlink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Hyperlink"/>
                <w:noProof/>
              </w:rPr>
              <w:t xml:space="preserve">1.3.1 </w:t>
            </w:r>
            <w:r w:rsidR="004A7F8E" w:rsidRPr="005B7E4A">
              <w:rPr>
                <w:rStyle w:val="Hyperlink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Hyperlink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Hyperlink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Hyperlink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Hyperlink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Hyperlink"/>
                <w:noProof/>
                <w:lang w:val="en-US"/>
              </w:rPr>
              <w:t>Use</w:t>
            </w:r>
            <w:r w:rsidR="004A7F8E" w:rsidRPr="005B7E4A">
              <w:rPr>
                <w:rStyle w:val="Hyperlink"/>
                <w:noProof/>
              </w:rPr>
              <w:t xml:space="preserve"> </w:t>
            </w:r>
            <w:r w:rsidR="004A7F8E" w:rsidRPr="005B7E4A">
              <w:rPr>
                <w:rStyle w:val="Hyperlink"/>
                <w:noProof/>
                <w:lang w:val="en-US"/>
              </w:rPr>
              <w:t>Cases</w:t>
            </w:r>
            <w:r w:rsidR="004A7F8E" w:rsidRPr="005B7E4A">
              <w:rPr>
                <w:rStyle w:val="Hyperlink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Hyperlink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Hyperlink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3178E1" w:rsidP="001663A7">
          <w:pPr>
            <w:pStyle w:val="TOC1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Hyperlink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Heading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Heading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066D44">
        <w:t>SOLIDWORKS</w:t>
      </w:r>
      <w:r w:rsidR="0099539B" w:rsidRPr="0099539B">
        <w:t xml:space="preserve">[1] </w:t>
      </w:r>
      <w:r>
        <w:t xml:space="preserve">– </w:t>
      </w:r>
      <w:r w:rsidR="0052667F" w:rsidRPr="0052667F"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Microsoft Windows.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(SolidWorks Gold Partners).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Heading1"/>
        <w:numPr>
          <w:ilvl w:val="1"/>
          <w:numId w:val="1"/>
        </w:numPr>
        <w:rPr>
          <w:lang w:val="en-US"/>
        </w:rPr>
      </w:pPr>
      <w:bookmarkStart w:id="2" w:name="_Toc36017412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API</w:t>
      </w:r>
      <w:r w:rsidR="00C24C37" w:rsidRPr="00C24C37">
        <w:t>[2]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Visual Basic (VB), Visual Basic for Applications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ListParagraph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Name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Type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 xml:space="preserve">Append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Mark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>Callout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ListParagraph"/>
        <w:numPr>
          <w:ilvl w:val="0"/>
          <w:numId w:val="24"/>
        </w:numPr>
        <w:spacing w:line="360" w:lineRule="auto"/>
      </w:pPr>
      <w:r>
        <w:t xml:space="preserve">SelectOption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выбран, иначе false.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4027D3D0" w14:textId="77777777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t>CreateSketchPlane</w:t>
      </w:r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 Relation – Описание отношений (swGuideCurveInfluence_e)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создан, иначе false</w:t>
      </w:r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lastRenderedPageBreak/>
        <w:t>CreateCircle</w:t>
      </w:r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ListParagraph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All – True для отчистки всего списка элементов, false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r w:rsidRPr="0070564E">
        <w:rPr>
          <w:b/>
          <w:bCs/>
          <w:u w:val="single"/>
        </w:rPr>
        <w:t>InsertProtrusionBlend</w:t>
      </w:r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Closed – True для закрытой верхней части, иначе false</w:t>
      </w:r>
      <w:r w:rsidRPr="0070564E">
        <w:t>;</w:t>
      </w:r>
    </w:p>
    <w:p w14:paraId="0881B995" w14:textId="3AEE8B09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KeepTangency – True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ForceNonRational - True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TessToleranceFactor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StartMatchingType – Тип касания в начальном профиле:</w:t>
      </w:r>
    </w:p>
    <w:p w14:paraId="6B07E11D" w14:textId="1AF2D2AF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EndMatchingType – Тип касания в конечном профиле:</w:t>
      </w:r>
    </w:p>
    <w:p w14:paraId="6167279B" w14:textId="175F5F08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StartTangentLength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EndTangentLength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StartTangentDir – True прямое направление, false - обратное</w:t>
      </w:r>
      <w:r w:rsidRPr="0070564E">
        <w:t>;</w:t>
      </w:r>
    </w:p>
    <w:p w14:paraId="6D3B8D28" w14:textId="4449C5FC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EndTangentDir – True прямое направление, false - обратное</w:t>
      </w:r>
      <w:r w:rsidRPr="0070564E">
        <w:t>;</w:t>
      </w:r>
    </w:p>
    <w:p w14:paraId="36682C73" w14:textId="1EFB790C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IsThinBody – True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ThinType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ListParagraph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ListParagraph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ListParagraph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lastRenderedPageBreak/>
        <w:t>Merge – True для объединения результата построения в многотельной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UseFeatScope – True если функция влияет только на выбранные тела, false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UseAutoSelect – True для автовыбора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ListParagraph"/>
        <w:numPr>
          <w:ilvl w:val="0"/>
          <w:numId w:val="27"/>
        </w:numPr>
        <w:spacing w:line="360" w:lineRule="auto"/>
      </w:pPr>
      <w:r>
        <w:t>GuideCurveInfluence – Влияние направляющих кривых согласно swGuideCurveInfluence_e</w:t>
      </w:r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r w:rsidRPr="00555A18">
        <w:rPr>
          <w:b/>
          <w:bCs/>
          <w:u w:val="single"/>
        </w:rPr>
        <w:t>InsertCutBlend</w:t>
      </w:r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Sd – True для вытягивания в одно направление, false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Flip – True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Dir – True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T1 – Тип завершения для первого конца выдавливания согласно swEndConditions_e</w:t>
      </w:r>
      <w:r w:rsidRPr="00555A18">
        <w:t>;</w:t>
      </w:r>
    </w:p>
    <w:p w14:paraId="648A86F1" w14:textId="76405705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T2 – Тип завершения для второго конца выдавливания согласно swEndConditions_e</w:t>
      </w:r>
      <w:r w:rsidRPr="00555A18">
        <w:t>;</w:t>
      </w:r>
    </w:p>
    <w:p w14:paraId="3167A578" w14:textId="1D574FA2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lastRenderedPageBreak/>
        <w:t>Merge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UseFeatScope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UseAutoSelect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StartOffset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ListParagraph"/>
        <w:numPr>
          <w:ilvl w:val="0"/>
          <w:numId w:val="28"/>
        </w:numPr>
        <w:spacing w:line="360" w:lineRule="auto"/>
      </w:pPr>
      <w:r>
        <w:t>FlipStartOffset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r w:rsidRPr="00555A18">
        <w:rPr>
          <w:b/>
          <w:bCs/>
          <w:lang w:val="en-US"/>
        </w:rPr>
        <w:t>FeatureCut</w:t>
      </w:r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Heading1"/>
        <w:numPr>
          <w:ilvl w:val="1"/>
          <w:numId w:val="1"/>
        </w:numPr>
      </w:pPr>
      <w:bookmarkStart w:id="3" w:name="_Toc36017413"/>
      <w:r>
        <w:lastRenderedPageBreak/>
        <w:t>Обзор аналогов</w:t>
      </w:r>
      <w:bookmarkEnd w:id="3"/>
    </w:p>
    <w:p w14:paraId="26B2E02C" w14:textId="0F5846A3" w:rsidR="002411E8" w:rsidRPr="00A96501" w:rsidRDefault="002411E8" w:rsidP="001663A7">
      <w:pPr>
        <w:pStyle w:val="Heading1"/>
        <w:rPr>
          <w:lang w:val="en-US"/>
        </w:rPr>
      </w:pPr>
      <w:r>
        <w:t xml:space="preserve"> </w:t>
      </w:r>
      <w:bookmarkStart w:id="4" w:name="_Toc36017414"/>
      <w:r w:rsidR="00A96501">
        <w:t xml:space="preserve">1.3.1 </w:t>
      </w:r>
      <w:r w:rsidR="00A96501">
        <w:rPr>
          <w:lang w:val="en-US"/>
        </w:rPr>
        <w:t>Glassful 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4"/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>Данный плагин</w:t>
      </w:r>
      <w:r w:rsidR="0082586E" w:rsidRPr="0082586E">
        <w:t>[3]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ListParagraph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Heading1"/>
        <w:rPr>
          <w:lang w:val="en-US"/>
        </w:rPr>
      </w:pPr>
      <w:bookmarkStart w:id="5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5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>Данный плагин</w:t>
      </w:r>
      <w:r w:rsidR="0082586E" w:rsidRPr="0082586E">
        <w:t>[4]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ListParagraph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Heading1"/>
      </w:pPr>
      <w:bookmarkStart w:id="6" w:name="_Toc36017416"/>
      <w:r>
        <w:lastRenderedPageBreak/>
        <w:t>2 Описание предмета проектирования</w:t>
      </w:r>
      <w:bookmarkEnd w:id="6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дна (0 </w:t>
      </w:r>
      <w:r>
        <w:rPr>
          <w:lang w:val="en-US"/>
        </w:rPr>
        <w:t>&lt; Hb &lt; 0,4*H);</w:t>
      </w:r>
    </w:p>
    <w:p w14:paraId="6EA943F9" w14:textId="38D0FF92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&lt; Ts &lt; 0,2*Rb);</w:t>
      </w:r>
    </w:p>
    <w:p w14:paraId="6EA197C6" w14:textId="45A6EAB9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Ht &lt; 0,15*H);</w:t>
      </w:r>
    </w:p>
    <w:p w14:paraId="48486B8F" w14:textId="007BF2E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r>
        <w:rPr>
          <w:lang w:val="en-US"/>
        </w:rPr>
        <w:t>&lt; Tt &lt;0,3*Rb);</w:t>
      </w:r>
    </w:p>
    <w:p w14:paraId="1D5324B1" w14:textId="4F2DF7E5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&lt; Rb);</w:t>
      </w:r>
    </w:p>
    <w:p w14:paraId="19B368AE" w14:textId="60C38E81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r>
        <w:rPr>
          <w:lang w:val="en-US"/>
        </w:rPr>
        <w:t>Rb</w:t>
      </w:r>
      <w:r w:rsidRPr="001F341F">
        <w:t xml:space="preserve"> &lt; </w:t>
      </w:r>
      <w:r>
        <w:rPr>
          <w:lang w:val="en-US"/>
        </w:rPr>
        <w:t>Rt</w:t>
      </w:r>
      <w:r w:rsidRPr="001F341F">
        <w:t xml:space="preserve"> &lt; 1,5*</w:t>
      </w:r>
      <w:r>
        <w:rPr>
          <w:lang w:val="en-US"/>
        </w:rPr>
        <w:t>Rb</w:t>
      </w:r>
      <w:r w:rsidRPr="001F341F">
        <w:t>);</w:t>
      </w:r>
    </w:p>
    <w:p w14:paraId="12C38E8A" w14:textId="0A34E63C" w:rsidR="005E4DD9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(2*Rb &lt; H);</w:t>
      </w:r>
    </w:p>
    <w:p w14:paraId="734007DD" w14:textId="57ABDA0C" w:rsidR="005E4DD9" w:rsidRPr="0058216E" w:rsidRDefault="005E4DD9" w:rsidP="001663A7">
      <w:pPr>
        <w:pStyle w:val="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"/>
        <w:widowControl/>
        <w:ind w:firstLine="0"/>
        <w:jc w:val="center"/>
      </w:pPr>
      <w:r>
        <w:t>Рисунок 2.2 – Размерные выноски на виде сверху</w:t>
      </w:r>
    </w:p>
    <w:p w14:paraId="0C10C561" w14:textId="77777777" w:rsidR="00530901" w:rsidRDefault="00530901">
      <w:pPr>
        <w:rPr>
          <w:rFonts w:eastAsiaTheme="majorEastAsia" w:cstheme="majorBidi"/>
          <w:b/>
          <w:color w:val="000000" w:themeColor="text1"/>
          <w:szCs w:val="32"/>
        </w:rPr>
      </w:pPr>
      <w:bookmarkStart w:id="7" w:name="_Toc36017417"/>
      <w:r>
        <w:br w:type="page"/>
      </w:r>
    </w:p>
    <w:p w14:paraId="3627033C" w14:textId="01E6BDEC" w:rsidR="004C3DB0" w:rsidRDefault="004C3DB0" w:rsidP="001663A7">
      <w:pPr>
        <w:pStyle w:val="Heading1"/>
      </w:pPr>
      <w:r w:rsidRPr="004C3DB0">
        <w:lastRenderedPageBreak/>
        <w:t xml:space="preserve">3 </w:t>
      </w:r>
      <w:r w:rsidR="006B1BE2">
        <w:t>Проект программы</w:t>
      </w:r>
      <w:bookmarkEnd w:id="7"/>
    </w:p>
    <w:p w14:paraId="51403443" w14:textId="2855A49F" w:rsidR="004C3DB0" w:rsidRDefault="004C3DB0" w:rsidP="001663A7">
      <w:pPr>
        <w:pStyle w:val="Heading1"/>
      </w:pPr>
      <w:bookmarkStart w:id="8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78993ADB" w14:textId="4C6CC11D" w:rsidR="00362173" w:rsidRPr="00362173" w:rsidRDefault="00362173" w:rsidP="003621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362173">
        <w:rPr>
          <w:rFonts w:cs="Times New Roman"/>
          <w:bCs/>
          <w:szCs w:val="28"/>
          <w:shd w:val="clear" w:color="auto" w:fill="FFFFFF"/>
        </w:rPr>
        <w:t xml:space="preserve">Диаграмма вариантов использования </w:t>
      </w:r>
      <w:r w:rsidRPr="00362173">
        <w:rPr>
          <w:rFonts w:cs="Times New Roman"/>
          <w:szCs w:val="28"/>
          <w:shd w:val="clear" w:color="auto" w:fill="FFFFFF"/>
        </w:rPr>
        <w:t xml:space="preserve">в </w:t>
      </w:r>
      <w:hyperlink r:id="rId14" w:tooltip="UML" w:history="1">
        <w:r w:rsidRPr="00362173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UML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— диаграмма, отражающая отношения между </w:t>
      </w:r>
      <w:hyperlink r:id="rId15" w:tooltip="Актор (UML)" w:history="1">
        <w:r w:rsidRPr="00362173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актерами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</w:t>
      </w:r>
      <w:hyperlink r:id="rId16" w:tooltip="Прецедент (UML)" w:history="1">
        <w:r w:rsidRPr="00362173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прецедентами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являющаяся составной частью </w:t>
      </w:r>
      <w:r w:rsidRPr="00362173">
        <w:rPr>
          <w:rFonts w:cs="Times New Roman"/>
          <w:bCs/>
          <w:iCs/>
          <w:szCs w:val="28"/>
          <w:shd w:val="clear" w:color="auto" w:fill="FFFFFF"/>
        </w:rPr>
        <w:t>модели прецедентов</w:t>
      </w:r>
      <w:r w:rsidRPr="00362173">
        <w:rPr>
          <w:rFonts w:cs="Times New Roman"/>
          <w:szCs w:val="28"/>
          <w:shd w:val="clear" w:color="auto" w:fill="FFFFFF"/>
        </w:rPr>
        <w:t>, позволяющей описать систему на концептуальном уровне. 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 [</w:t>
      </w:r>
      <w:r>
        <w:rPr>
          <w:rFonts w:cs="Times New Roman"/>
          <w:szCs w:val="28"/>
          <w:shd w:val="clear" w:color="auto" w:fill="FFFFFF"/>
          <w:lang w:val="en-US"/>
        </w:rPr>
        <w:t>5</w:t>
      </w:r>
      <w:r w:rsidRPr="00362173">
        <w:rPr>
          <w:rFonts w:cs="Times New Roman"/>
          <w:szCs w:val="28"/>
          <w:shd w:val="clear" w:color="auto" w:fill="FFFFFF"/>
          <w:lang w:val="en-US"/>
        </w:rPr>
        <w:t>]</w:t>
      </w:r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DF26A4C" w:rsidR="00B263C6" w:rsidRDefault="00724C62" w:rsidP="001663A7">
      <w:pPr>
        <w:pStyle w:val="Heading1"/>
      </w:pPr>
      <w:bookmarkStart w:id="9" w:name="_Toc36017419"/>
      <w:r>
        <w:t>3.</w:t>
      </w:r>
      <w:r w:rsidR="006B1BE2">
        <w:t>2</w:t>
      </w:r>
      <w:r>
        <w:t xml:space="preserve"> Диаграмма классов</w:t>
      </w:r>
      <w:bookmarkEnd w:id="9"/>
    </w:p>
    <w:p w14:paraId="77E497A9" w14:textId="2B74E34B" w:rsidR="00362173" w:rsidRP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  <w:lang w:val="en-US"/>
        </w:rPr>
      </w:pPr>
      <w:commentRangeStart w:id="10"/>
      <w:r>
        <w:rPr>
          <w:rFonts w:cs="Times New Roman"/>
          <w:szCs w:val="28"/>
        </w:rPr>
        <w:t xml:space="preserve">UML – это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commentRangeEnd w:id="10"/>
      <w:r w:rsidR="003A56A8">
        <w:rPr>
          <w:rStyle w:val="CommentReference"/>
          <w:rFonts w:asciiTheme="minorHAnsi" w:hAnsiTheme="minorHAnsi"/>
        </w:rPr>
        <w:commentReference w:id="10"/>
      </w:r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6]</w:t>
      </w:r>
    </w:p>
    <w:p w14:paraId="1415889C" w14:textId="571718AF" w:rsidR="00724C62" w:rsidRDefault="00724C62" w:rsidP="00362173">
      <w:pPr>
        <w:spacing w:line="360" w:lineRule="auto"/>
        <w:ind w:firstLine="851"/>
      </w:pPr>
      <w:r>
        <w:lastRenderedPageBreak/>
        <w:t xml:space="preserve">На рисунке 3.2 представлена диаграмма </w:t>
      </w:r>
      <w:commentRangeStart w:id="11"/>
      <w:commentRangeStart w:id="12"/>
      <w:commentRangeStart w:id="13"/>
      <w:r>
        <w:t>классов</w:t>
      </w:r>
      <w:commentRangeEnd w:id="11"/>
      <w:r w:rsidR="00832E75">
        <w:rPr>
          <w:rStyle w:val="CommentReference"/>
          <w:rFonts w:asciiTheme="minorHAnsi" w:hAnsiTheme="minorHAnsi"/>
        </w:rPr>
        <w:commentReference w:id="11"/>
      </w:r>
      <w:commentRangeEnd w:id="12"/>
      <w:r w:rsidR="00362173">
        <w:rPr>
          <w:rStyle w:val="CommentReference"/>
          <w:rFonts w:asciiTheme="minorHAnsi" w:hAnsiTheme="minorHAnsi"/>
        </w:rPr>
        <w:commentReference w:id="12"/>
      </w:r>
      <w:commentRangeEnd w:id="13"/>
      <w:r w:rsidR="003A56A8">
        <w:rPr>
          <w:rStyle w:val="CommentReference"/>
          <w:rFonts w:asciiTheme="minorHAnsi" w:hAnsiTheme="minorHAnsi"/>
        </w:rPr>
        <w:commentReference w:id="13"/>
      </w:r>
      <w:r>
        <w:t>.</w:t>
      </w:r>
    </w:p>
    <w:p w14:paraId="6B690AA7" w14:textId="0E11C2B8" w:rsidR="00724C62" w:rsidRDefault="00921A91" w:rsidP="001663A7">
      <w:pPr>
        <w:spacing w:line="360" w:lineRule="auto"/>
        <w:jc w:val="center"/>
      </w:pPr>
      <w:commentRangeStart w:id="14"/>
      <w:r>
        <w:rPr>
          <w:noProof/>
        </w:rPr>
        <w:drawing>
          <wp:inline distT="0" distB="0" distL="0" distR="0" wp14:anchorId="5A67C09E" wp14:editId="7B2470DE">
            <wp:extent cx="5940425" cy="3592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3A56A8">
        <w:rPr>
          <w:rStyle w:val="CommentReference"/>
          <w:rFonts w:asciiTheme="minorHAnsi" w:hAnsiTheme="minorHAnsi"/>
        </w:rPr>
        <w:commentReference w:id="14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362173">
      <w:pPr>
        <w:pStyle w:val="a0"/>
        <w:ind w:left="0" w:firstLine="709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SolidworksConnector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Solidworks</w:t>
      </w:r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FA5A1F">
        <w:rPr>
          <w:bCs/>
          <w:color w:val="000000"/>
          <w:lang w:val="en-US"/>
        </w:rPr>
        <w:t>Solidworks</w:t>
      </w:r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lang w:val="en-US"/>
        </w:rPr>
        <w:t>MainForm</w:t>
      </w:r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0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00A15BBE" w:rsidR="00724C62" w:rsidRDefault="00724C62" w:rsidP="001663A7">
      <w:pPr>
        <w:pStyle w:val="Heading1"/>
      </w:pPr>
      <w:bookmarkStart w:id="15" w:name="_Toc36017420"/>
      <w:r>
        <w:t>3.3 Макет пользовательского интерфейса</w:t>
      </w:r>
      <w:bookmarkEnd w:id="15"/>
    </w:p>
    <w:p w14:paraId="650789A4" w14:textId="1826AB22" w:rsid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программой. [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]</w:t>
      </w:r>
    </w:p>
    <w:p w14:paraId="494938CD" w14:textId="77777777" w:rsidR="00362173" w:rsidRPr="00362173" w:rsidRDefault="00362173" w:rsidP="00362173"/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3D6D2BD9" w:rsidR="005D44C5" w:rsidRPr="00921A91" w:rsidRDefault="00921A91" w:rsidP="001663A7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D17F4" wp14:editId="2097E207">
            <wp:extent cx="3619500" cy="34394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63" cy="3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ListParagraph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commentRangeStart w:id="16"/>
      <w:r>
        <w:t xml:space="preserve">Заполнение доступных параметров стакана. </w:t>
      </w:r>
    </w:p>
    <w:p w14:paraId="474EDD66" w14:textId="2306B5E4" w:rsidR="00360E0F" w:rsidRDefault="00360E0F" w:rsidP="001663A7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1663A7">
      <w:pPr>
        <w:spacing w:line="360" w:lineRule="auto"/>
        <w:ind w:firstLine="708"/>
        <w:jc w:val="both"/>
      </w:pPr>
      <w:r>
        <w:t xml:space="preserve">Открытие </w:t>
      </w:r>
      <w:r>
        <w:rPr>
          <w:lang w:val="en-US"/>
        </w:rPr>
        <w:t>Solidworks</w:t>
      </w:r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0C4EB7B1" w:rsidR="0051252E" w:rsidRPr="00703300" w:rsidRDefault="00B961E4" w:rsidP="001663A7">
      <w:pPr>
        <w:spacing w:line="360" w:lineRule="auto"/>
        <w:ind w:firstLine="708"/>
        <w:jc w:val="both"/>
      </w:pPr>
      <w:bookmarkStart w:id="17" w:name="_Toc35261033"/>
      <w:r>
        <w:t xml:space="preserve">Для оповещения пользователя о некорректно введенных данных используется система подсказок, которая </w:t>
      </w:r>
      <w:commentRangeEnd w:id="16"/>
      <w:r w:rsidR="003A56A8">
        <w:rPr>
          <w:rStyle w:val="CommentReference"/>
          <w:rFonts w:asciiTheme="minorHAnsi" w:hAnsiTheme="minorHAnsi"/>
        </w:rPr>
        <w:commentReference w:id="16"/>
      </w:r>
      <w:r>
        <w:t>сообщает о том, как правильно заполнить данное поле. Кроме того, поле с некорректно введенными данными подсвечивается красным</w:t>
      </w:r>
      <w:r w:rsidR="00703300">
        <w:t>, а также блокирует</w:t>
      </w:r>
      <w:r w:rsidR="000E144F">
        <w:t>ся</w:t>
      </w:r>
      <w:r w:rsidR="00703300">
        <w:t xml:space="preserve"> кнопк</w:t>
      </w:r>
      <w:r w:rsidR="000E144F">
        <w:t>а</w:t>
      </w:r>
      <w:r w:rsidR="00703300">
        <w:t xml:space="preserve"> «Построить».</w:t>
      </w:r>
      <w:r w:rsidR="001C1C95" w:rsidRPr="001C1C95">
        <w:t xml:space="preserve"> </w:t>
      </w:r>
      <w:r w:rsidR="00703300">
        <w:t>Пример приведен на рисунке 3.4.</w:t>
      </w:r>
    </w:p>
    <w:p w14:paraId="0176CA3A" w14:textId="7DE6959A" w:rsidR="00C24C37" w:rsidRDefault="00C24C37" w:rsidP="00703300">
      <w:pPr>
        <w:jc w:val="center"/>
      </w:pPr>
      <w:bookmarkStart w:id="18" w:name="_Toc36017421"/>
      <w:r>
        <w:br w:type="page"/>
      </w:r>
      <w:r w:rsidR="00362173">
        <w:rPr>
          <w:noProof/>
        </w:rPr>
        <w:lastRenderedPageBreak/>
        <w:drawing>
          <wp:inline distT="0" distB="0" distL="0" distR="0" wp14:anchorId="0425863C" wp14:editId="0B84BA2A">
            <wp:extent cx="543877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3788" w14:textId="3C094E58" w:rsidR="00703300" w:rsidRPr="00703300" w:rsidRDefault="00703300" w:rsidP="0070330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t>Рисунок 3.4 – Реакция программы на некорректный ввод данных</w:t>
      </w:r>
    </w:p>
    <w:p w14:paraId="10DBDF74" w14:textId="77777777" w:rsidR="00362173" w:rsidRDefault="0036217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5F171F2" w14:textId="12062591" w:rsidR="00A96501" w:rsidRDefault="00A96501" w:rsidP="001663A7">
      <w:pPr>
        <w:pStyle w:val="Heading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17"/>
      <w:bookmarkEnd w:id="18"/>
    </w:p>
    <w:p w14:paraId="1AAD0EBC" w14:textId="1DB2F9E0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ListParagraph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0CE2ABA0" w14:textId="77777777" w:rsidR="00A96501" w:rsidRDefault="00A96501" w:rsidP="001663A7">
      <w:pPr>
        <w:pStyle w:val="a2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>. Основы, 3-е издание – Мартин Фаулер, Кендалл Скотт. Издательство Символ Плюс, Москва, 2004 год – 192 с.</w:t>
      </w:r>
    </w:p>
    <w:p w14:paraId="1FDB6473" w14:textId="77777777" w:rsidR="00A96501" w:rsidRPr="00360E0F" w:rsidRDefault="00A96501" w:rsidP="00360E0F">
      <w:pPr>
        <w:spacing w:line="360" w:lineRule="auto"/>
        <w:ind w:firstLine="708"/>
        <w:jc w:val="both"/>
      </w:pPr>
    </w:p>
    <w:sectPr w:rsidR="00A96501" w:rsidRPr="00360E0F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Kalentyev Alexey" w:date="2020-05-14T00:06:00Z" w:initials="KA">
    <w:p w14:paraId="379E6AF4" w14:textId="0FF82476" w:rsidR="003A56A8" w:rsidRDefault="003A56A8">
      <w:pPr>
        <w:pStyle w:val="CommentText"/>
      </w:pPr>
      <w:r>
        <w:rPr>
          <w:rStyle w:val="CommentReference"/>
        </w:rPr>
        <w:annotationRef/>
      </w:r>
      <w:r>
        <w:t>При чём здесь этот абзац и ДК?</w:t>
      </w:r>
    </w:p>
  </w:comment>
  <w:comment w:id="11" w:author="Kalentyev Alexey" w:date="2020-04-20T11:54:00Z" w:initials="KA">
    <w:p w14:paraId="5C868951" w14:textId="629CA50B" w:rsidR="00832E75" w:rsidRDefault="00832E75">
      <w:pPr>
        <w:pStyle w:val="CommentText"/>
      </w:pPr>
      <w:r>
        <w:rPr>
          <w:rStyle w:val="CommentReference"/>
        </w:rPr>
        <w:annotationRef/>
      </w:r>
      <w:r>
        <w:t>Тоже, что и про ВИ – что это со ссылкой и зачем это надо строить.</w:t>
      </w:r>
    </w:p>
  </w:comment>
  <w:comment w:id="12" w:author="Krausz" w:date="2020-05-04T21:12:00Z" w:initials="K">
    <w:p w14:paraId="4F2F9B24" w14:textId="0BEF34F7" w:rsidR="00362173" w:rsidRPr="003A56A8" w:rsidRDefault="00362173">
      <w:pPr>
        <w:pStyle w:val="CommentText"/>
      </w:pPr>
      <w:r>
        <w:rPr>
          <w:rStyle w:val="CommentReference"/>
        </w:rPr>
        <w:annotationRef/>
      </w:r>
      <w:r w:rsidRPr="003A56A8">
        <w:t>+</w:t>
      </w:r>
    </w:p>
  </w:comment>
  <w:comment w:id="13" w:author="Kalentyev Alexey" w:date="2020-05-14T00:06:00Z" w:initials="KA">
    <w:p w14:paraId="7CE4D037" w14:textId="2095BBE8" w:rsidR="003A56A8" w:rsidRDefault="003A56A8">
      <w:pPr>
        <w:pStyle w:val="CommentText"/>
      </w:pPr>
      <w:r>
        <w:rPr>
          <w:rStyle w:val="CommentReference"/>
        </w:rPr>
        <w:annotationRef/>
      </w:r>
      <w:r>
        <w:t>-</w:t>
      </w:r>
    </w:p>
  </w:comment>
  <w:comment w:id="14" w:author="Kalentyev Alexey" w:date="2020-05-14T00:07:00Z" w:initials="KA">
    <w:p w14:paraId="33B0E51A" w14:textId="77777777" w:rsidR="003A56A8" w:rsidRPr="003A56A8" w:rsidRDefault="003A56A8">
      <w:pPr>
        <w:pStyle w:val="CommentText"/>
      </w:pPr>
      <w:r>
        <w:rPr>
          <w:rStyle w:val="CommentReference"/>
        </w:rPr>
        <w:annotationRef/>
      </w:r>
      <w:r>
        <w:t xml:space="preserve">Некоторые приватные поля не по </w:t>
      </w:r>
      <w:r>
        <w:rPr>
          <w:lang w:val="en-US"/>
        </w:rPr>
        <w:t>RSDN</w:t>
      </w:r>
    </w:p>
    <w:p w14:paraId="4B3F4E20" w14:textId="77777777" w:rsidR="003A56A8" w:rsidRPr="003A56A8" w:rsidRDefault="003A56A8">
      <w:pPr>
        <w:pStyle w:val="CommentText"/>
      </w:pPr>
      <w:r>
        <w:rPr>
          <w:lang w:val="en-US"/>
        </w:rPr>
        <w:t>BuilderGlass</w:t>
      </w:r>
      <w:r w:rsidRPr="003A56A8">
        <w:t xml:space="preserve"> </w:t>
      </w:r>
      <w:r>
        <w:t xml:space="preserve">не связан с </w:t>
      </w:r>
      <w:r>
        <w:rPr>
          <w:lang w:val="en-US"/>
        </w:rPr>
        <w:t>MainForm</w:t>
      </w:r>
    </w:p>
    <w:p w14:paraId="2B566928" w14:textId="78D74CD4" w:rsidR="003A56A8" w:rsidRPr="003A56A8" w:rsidRDefault="003A56A8">
      <w:pPr>
        <w:pStyle w:val="CommentText"/>
      </w:pPr>
      <w:r>
        <w:t xml:space="preserve">Зачем в </w:t>
      </w:r>
      <w:r>
        <w:rPr>
          <w:lang w:val="en-US"/>
        </w:rPr>
        <w:t>MainForm</w:t>
      </w:r>
      <w:r w:rsidRPr="003A56A8">
        <w:t xml:space="preserve"> </w:t>
      </w:r>
      <w:r>
        <w:t xml:space="preserve">хранить </w:t>
      </w:r>
      <w:r>
        <w:rPr>
          <w:lang w:val="en-US"/>
        </w:rPr>
        <w:t>swap</w:t>
      </w:r>
      <w:r w:rsidRPr="003A56A8">
        <w:t xml:space="preserve"> </w:t>
      </w:r>
      <w:r>
        <w:t xml:space="preserve">и </w:t>
      </w:r>
      <w:r>
        <w:rPr>
          <w:lang w:val="en-US"/>
        </w:rPr>
        <w:t>swModel</w:t>
      </w:r>
      <w:r w:rsidRPr="003A56A8">
        <w:t xml:space="preserve">, </w:t>
      </w:r>
      <w:r>
        <w:t>если они есть в коннекторе?</w:t>
      </w:r>
    </w:p>
  </w:comment>
  <w:comment w:id="16" w:author="Kalentyev Alexey" w:date="2020-05-14T00:09:00Z" w:initials="KA">
    <w:p w14:paraId="63EA965E" w14:textId="67A80B47" w:rsidR="003A56A8" w:rsidRDefault="003A56A8">
      <w:pPr>
        <w:pStyle w:val="CommentText"/>
      </w:pPr>
      <w:r>
        <w:rPr>
          <w:rStyle w:val="CommentReference"/>
        </w:rPr>
        <w:annotationRef/>
      </w:r>
      <w:r>
        <w:t>Междуабзацный интервал не кошерный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9E6AF4" w15:done="0"/>
  <w15:commentEx w15:paraId="5C868951" w15:done="0"/>
  <w15:commentEx w15:paraId="4F2F9B24" w15:paraIdParent="5C868951" w15:done="0"/>
  <w15:commentEx w15:paraId="7CE4D037" w15:paraIdParent="5C868951" w15:done="0"/>
  <w15:commentEx w15:paraId="2B566928" w15:done="0"/>
  <w15:commentEx w15:paraId="63EA96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09ED" w16cex:dateUtc="2020-05-13T17:06:00Z"/>
  <w16cex:commentExtensible w16cex:durableId="22480BEC" w16cex:dateUtc="2020-04-20T04:54:00Z"/>
  <w16cex:commentExtensible w16cex:durableId="22670A05" w16cex:dateUtc="2020-05-13T17:06:00Z"/>
  <w16cex:commentExtensible w16cex:durableId="22670A37" w16cex:dateUtc="2020-05-13T17:07:00Z"/>
  <w16cex:commentExtensible w16cex:durableId="22670AA0" w16cex:dateUtc="2020-05-13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9E6AF4" w16cid:durableId="226709ED"/>
  <w16cid:commentId w16cid:paraId="5C868951" w16cid:durableId="22480BEC"/>
  <w16cid:commentId w16cid:paraId="4F2F9B24" w16cid:durableId="225B03C8"/>
  <w16cid:commentId w16cid:paraId="7CE4D037" w16cid:durableId="22670A05"/>
  <w16cid:commentId w16cid:paraId="2B566928" w16cid:durableId="22670A37"/>
  <w16cid:commentId w16cid:paraId="63EA965E" w16cid:durableId="22670A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02C60" w14:textId="77777777" w:rsidR="003178E1" w:rsidRDefault="003178E1" w:rsidP="001062E6">
      <w:pPr>
        <w:spacing w:after="0" w:line="240" w:lineRule="auto"/>
      </w:pPr>
      <w:r>
        <w:separator/>
      </w:r>
    </w:p>
  </w:endnote>
  <w:endnote w:type="continuationSeparator" w:id="0">
    <w:p w14:paraId="0A13F16D" w14:textId="77777777" w:rsidR="003178E1" w:rsidRDefault="003178E1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DB4FD" w14:textId="77777777" w:rsidR="003178E1" w:rsidRDefault="003178E1" w:rsidP="001062E6">
      <w:pPr>
        <w:spacing w:after="0" w:line="240" w:lineRule="auto"/>
      </w:pPr>
      <w:r>
        <w:separator/>
      </w:r>
    </w:p>
  </w:footnote>
  <w:footnote w:type="continuationSeparator" w:id="0">
    <w:p w14:paraId="2DAFF942" w14:textId="77777777" w:rsidR="003178E1" w:rsidRDefault="003178E1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Krausz">
    <w15:presenceInfo w15:providerId="None" w15:userId="Kra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0E144F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2C412F"/>
    <w:rsid w:val="00311984"/>
    <w:rsid w:val="003178E1"/>
    <w:rsid w:val="00360E0F"/>
    <w:rsid w:val="00362173"/>
    <w:rsid w:val="00372B7F"/>
    <w:rsid w:val="003760EF"/>
    <w:rsid w:val="003A56A8"/>
    <w:rsid w:val="003D5880"/>
    <w:rsid w:val="0045728C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0901"/>
    <w:rsid w:val="00537601"/>
    <w:rsid w:val="00555A18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385E"/>
    <w:rsid w:val="006E5834"/>
    <w:rsid w:val="00703300"/>
    <w:rsid w:val="0070564E"/>
    <w:rsid w:val="00724C62"/>
    <w:rsid w:val="00773C48"/>
    <w:rsid w:val="007C7062"/>
    <w:rsid w:val="007E4608"/>
    <w:rsid w:val="00802550"/>
    <w:rsid w:val="00813934"/>
    <w:rsid w:val="0082586E"/>
    <w:rsid w:val="00832E75"/>
    <w:rsid w:val="0086568B"/>
    <w:rsid w:val="00897922"/>
    <w:rsid w:val="008F1CA5"/>
    <w:rsid w:val="008F3EC5"/>
    <w:rsid w:val="00911486"/>
    <w:rsid w:val="00921A91"/>
    <w:rsid w:val="00937B96"/>
    <w:rsid w:val="00941699"/>
    <w:rsid w:val="009536AB"/>
    <w:rsid w:val="00971573"/>
    <w:rsid w:val="00990046"/>
    <w:rsid w:val="0099539B"/>
    <w:rsid w:val="009C3DFB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640FF"/>
    <w:rsid w:val="00C72375"/>
    <w:rsid w:val="00C959B7"/>
    <w:rsid w:val="00CC0AC0"/>
    <w:rsid w:val="00CE2E7D"/>
    <w:rsid w:val="00D02D74"/>
    <w:rsid w:val="00D66B34"/>
    <w:rsid w:val="00E308F5"/>
    <w:rsid w:val="00E55AD9"/>
    <w:rsid w:val="00E55CBC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0E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3760EF"/>
    <w:pPr>
      <w:ind w:left="720"/>
      <w:contextualSpacing/>
    </w:pPr>
  </w:style>
  <w:style w:type="table" w:styleId="TableGrid">
    <w:name w:val="Table Grid"/>
    <w:basedOn w:val="TableNormal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E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E6"/>
    <w:rPr>
      <w:rFonts w:ascii="Times New Roman" w:hAnsi="Times New Roman"/>
      <w:sz w:val="28"/>
    </w:rPr>
  </w:style>
  <w:style w:type="paragraph" w:customStyle="1" w:styleId="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D57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57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263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C6"/>
    <w:rPr>
      <w:sz w:val="20"/>
      <w:szCs w:val="20"/>
    </w:rPr>
  </w:style>
  <w:style w:type="character" w:customStyle="1" w:styleId="a">
    <w:name w:val="мой стиль Знак"/>
    <w:link w:val="a0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1">
    <w:name w:val="ГОСТ текст Знак"/>
    <w:basedOn w:val="DefaultParagraphFont"/>
    <w:link w:val="a2"/>
    <w:locked/>
    <w:rsid w:val="00A96501"/>
    <w:rPr>
      <w:rFonts w:ascii="Times New Roman" w:hAnsi="Times New Roman" w:cs="Times New Roman"/>
      <w:sz w:val="28"/>
    </w:rPr>
  </w:style>
  <w:style w:type="paragraph" w:customStyle="1" w:styleId="a2">
    <w:name w:val="ГОСТ текст"/>
    <w:basedOn w:val="Normal"/>
    <w:link w:val="a1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A7F8E"/>
    <w:pPr>
      <w:spacing w:after="1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6%D0%B5%D0%B4%D0%B5%D0%BD%D1%82_(UML)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A%D1%82%D0%BE%D1%80_(UML)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51CB7-D3CA-455A-925B-F697C068C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17</Pages>
  <Words>2051</Words>
  <Characters>11691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Kalentyev Alexey</cp:lastModifiedBy>
  <cp:revision>33</cp:revision>
  <dcterms:created xsi:type="dcterms:W3CDTF">2020-02-25T06:52:00Z</dcterms:created>
  <dcterms:modified xsi:type="dcterms:W3CDTF">2020-05-13T17:09:00Z</dcterms:modified>
</cp:coreProperties>
</file>