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</w:pPr>
      <w:r>
        <w:rPr>
          <w:rFonts w:hint="eastAsia"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eastAsia"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  <w:instrText xml:space="preserve"> HYPERLINK "1 多智能体深度强化学习研究综述_孙彧.pdf" </w:instrText>
      </w:r>
      <w:r>
        <w:rPr>
          <w:rFonts w:hint="eastAsia"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5"/>
          <w:rFonts w:hint="eastAsia"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  <w:t>1 多智能体深度强化学习研究综述_孙彧.pdf</w:t>
      </w:r>
      <w:r>
        <w:rPr>
          <w:rFonts w:hint="eastAsia"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380" w:firstLineChars="200"/>
        <w:jc w:val="left"/>
        <w:rPr>
          <w:rFonts w:hint="eastAsia"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</w:pPr>
      <w:r>
        <w:rPr>
          <w:rFonts w:hint="eastAsia"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  <w:t>MDRL</w:t>
      </w:r>
      <w:r>
        <w:rPr>
          <w:rFonts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  <w:t>按照无关联型、通信规则型、互相合作型和建模学习型</w:t>
      </w:r>
      <w:r>
        <w:rPr>
          <w:rFonts w:ascii="TimesNewRomanPSMT" w:hAnsi="TimesNewRomanPSMT" w:eastAsia="TimesNewRomanPSMT" w:cs="TimesNewRomanPSMT"/>
          <w:color w:val="231F20"/>
          <w:kern w:val="0"/>
          <w:sz w:val="19"/>
          <w:szCs w:val="19"/>
          <w:lang w:val="en-US" w:eastAsia="zh-CN" w:bidi="ar"/>
        </w:rPr>
        <w:t>4</w:t>
      </w:r>
      <w:r>
        <w:rPr>
          <w:rFonts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  <w:t>种分类方式阐述了现有的经典算法</w:t>
      </w:r>
      <w:r>
        <w:rPr>
          <w:rFonts w:hint="eastAsia" w:ascii="楷体_GB2312" w:hAnsi="楷体_GB2312" w:eastAsia="楷体_GB2312" w:cs="楷体_GB2312"/>
          <w:color w:val="231F20"/>
          <w:kern w:val="0"/>
          <w:sz w:val="19"/>
          <w:szCs w:val="19"/>
          <w:lang w:val="en-US" w:eastAsia="zh-CN" w:bidi="ar"/>
        </w:rPr>
        <w:t>；DRL算法的实际应用，现有的测试平台；multiagent DRL在理论、算法、应用方面面临的挑战和未来的发展方向。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84425" cy="112268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80" w:firstLineChars="200"/>
        <w:jc w:val="left"/>
        <w:textAlignment w:val="auto"/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MARL </w:t>
      </w:r>
      <w:r>
        <w:rPr>
          <w:rFonts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 xml:space="preserve">的算法根据其回报函数的不同可以分为完 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全 合 作 型</w:t>
      </w: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Fully Cooperative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)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、完 全 竞 争 型</w:t>
      </w: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Fully Competitive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)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和混合型</w:t>
      </w: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Mixed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)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 xml:space="preserve">三种任务类型，完全 合作型算法中智能体的回报函数是相同的，即 </w:t>
      </w:r>
      <w:r>
        <w:rPr>
          <w:rFonts w:ascii="NEU-BZ-S92-Italic" w:hAnsi="NEU-BZ-S92-Italic" w:eastAsia="NEU-BZ-S92-Italic" w:cs="NEU-BZ-S92-Italic"/>
          <w:i/>
          <w:color w:val="231F20"/>
          <w:kern w:val="0"/>
          <w:sz w:val="19"/>
          <w:szCs w:val="19"/>
          <w:lang w:val="en-US" w:eastAsia="zh-CN" w:bidi="ar"/>
        </w:rPr>
        <w:t>R</w:t>
      </w:r>
      <w:r>
        <w:rPr>
          <w:rFonts w:ascii="NEU-BZ-S92-Regular" w:hAnsi="NEU-BZ-S92-Regular" w:eastAsia="NEU-BZ-S92-Regular" w:cs="NEU-BZ-S92-Regular"/>
          <w:color w:val="231F20"/>
          <w:kern w:val="0"/>
          <w:sz w:val="12"/>
          <w:szCs w:val="12"/>
          <w:lang w:val="en-US" w:eastAsia="zh-CN" w:bidi="ar"/>
        </w:rPr>
        <w:t xml:space="preserve">1 </w:t>
      </w:r>
      <w:r>
        <w:rPr>
          <w:rFonts w:hint="default" w:ascii="NEU-BZ-S92-Regular" w:hAnsi="NEU-BZ-S92-Regular" w:eastAsia="NEU-BZ-S92-Regular" w:cs="NEU-BZ-S92-Regular"/>
          <w:color w:val="231F2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default" w:ascii="NEU-BZ-S92-Italic" w:hAnsi="NEU-BZ-S92-Italic" w:eastAsia="NEU-BZ-S92-Italic" w:cs="NEU-BZ-S92-Italic"/>
          <w:i/>
          <w:color w:val="231F2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NEU-BZ-S92-Regular" w:hAnsi="NEU-BZ-S92-Regular" w:eastAsia="NEU-BZ-S92-Regular" w:cs="NEU-BZ-S92-Regular"/>
          <w:color w:val="231F20"/>
          <w:kern w:val="0"/>
          <w:sz w:val="12"/>
          <w:szCs w:val="12"/>
          <w:lang w:val="en-US" w:eastAsia="zh-CN" w:bidi="ar"/>
        </w:rPr>
        <w:t xml:space="preserve">2 </w:t>
      </w:r>
      <w:r>
        <w:rPr>
          <w:rFonts w:hint="default" w:ascii="NEU-BZ-S92-Regular" w:hAnsi="NEU-BZ-S92-Regular" w:eastAsia="NEU-BZ-S92-Regular" w:cs="NEU-BZ-S92-Regular"/>
          <w:color w:val="231F20"/>
          <w:kern w:val="0"/>
          <w:sz w:val="19"/>
          <w:szCs w:val="19"/>
          <w:lang w:val="en-US" w:eastAsia="zh-CN" w:bidi="ar"/>
        </w:rPr>
        <w:t xml:space="preserve">= ⋯ = </w:t>
      </w:r>
      <w:r>
        <w:rPr>
          <w:rFonts w:hint="default" w:ascii="NEU-BZ-S92-Italic" w:hAnsi="NEU-BZ-S92-Italic" w:eastAsia="NEU-BZ-S92-Italic" w:cs="NEU-BZ-S92-Italic"/>
          <w:i/>
          <w:color w:val="231F2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NEU-BZ-S92-Italic" w:hAnsi="NEU-BZ-S92-Italic" w:eastAsia="NEU-BZ-S92-Italic" w:cs="NEU-BZ-S92-Italic"/>
          <w:i/>
          <w:color w:val="231F20"/>
          <w:kern w:val="0"/>
          <w:sz w:val="12"/>
          <w:szCs w:val="12"/>
          <w:lang w:val="en-US" w:eastAsia="zh-CN" w:bidi="ar"/>
        </w:rPr>
        <w:t xml:space="preserve">n 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，表示所有智能体都在为实现共同的目标而努力；完全竞争型算法中智能体的回报函数是相反的，环境通常存在两个完全敌对的智能体，它们遵循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SG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(随机博弈)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 xml:space="preserve">原则，即 </w:t>
      </w:r>
      <w:r>
        <w:rPr>
          <w:rFonts w:hint="default" w:ascii="NEU-BZ-S92-Italic" w:hAnsi="NEU-BZ-S92-Italic" w:eastAsia="NEU-BZ-S92-Italic" w:cs="NEU-BZ-S92-Italic"/>
          <w:i/>
          <w:color w:val="231F2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NEU-BZ-S92-Regular" w:hAnsi="NEU-BZ-S92-Regular" w:eastAsia="NEU-BZ-S92-Regular" w:cs="NEU-BZ-S92-Regular"/>
          <w:color w:val="231F20"/>
          <w:kern w:val="0"/>
          <w:sz w:val="12"/>
          <w:szCs w:val="12"/>
          <w:lang w:val="en-US" w:eastAsia="zh-CN" w:bidi="ar"/>
        </w:rPr>
        <w:t xml:space="preserve">1 </w:t>
      </w:r>
      <w:r>
        <w:rPr>
          <w:rFonts w:hint="default" w:ascii="NEU-BZ-S92-Regular" w:hAnsi="NEU-BZ-S92-Regular" w:eastAsia="NEU-BZ-S92-Regular" w:cs="NEU-BZ-S92-Regular"/>
          <w:color w:val="231F20"/>
          <w:kern w:val="0"/>
          <w:sz w:val="19"/>
          <w:szCs w:val="19"/>
          <w:lang w:val="en-US" w:eastAsia="zh-CN" w:bidi="ar"/>
        </w:rPr>
        <w:t>= -</w:t>
      </w:r>
      <w:r>
        <w:rPr>
          <w:rFonts w:hint="default" w:ascii="NEU-BZ-S92-Italic" w:hAnsi="NEU-BZ-S92-Italic" w:eastAsia="NEU-BZ-S92-Italic" w:cs="NEU-BZ-S92-Italic"/>
          <w:i/>
          <w:color w:val="231F2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NEU-BZ-S92-Regular" w:hAnsi="NEU-BZ-S92-Regular" w:eastAsia="NEU-BZ-S92-Regular" w:cs="NEU-BZ-S92-Regular"/>
          <w:color w:val="231F20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，智能体的目标是最大化自身的回报，同时尽可能最小化对方回报；混合型任务中智能体的回报函数并无确定性正负关系，该模型适合自利型（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Self-interested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）智能体，一般来说此类任务的求解大都与博弈论中均衡解的概念相关，即当环境中的一个状态存在多个均衡时，智能体需要一致选择同一个均</w:t>
      </w:r>
      <w:r>
        <w:rPr>
          <w:rFonts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衡。该类算法主要面向静态任务</w:t>
      </w: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80" w:firstLineChars="200"/>
        <w:jc w:val="left"/>
        <w:textAlignment w:val="auto"/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MARL遵循随机博弈(SG)过程，</w:t>
      </w:r>
      <w:r>
        <w:rPr>
          <w:rFonts w:hint="eastAsia" w:ascii="FZS3JW--GB1-0" w:hAnsi="FZS3JW--GB1-0" w:eastAsia="FZS3JW--GB1-0" w:cs="FZS3JW--GB1-0"/>
          <w:color w:val="000000" w:themeColor="text1"/>
          <w:kern w:val="0"/>
          <w:sz w:val="19"/>
          <w:szCs w:val="19"/>
          <w:highlight w:val="yellow"/>
          <w:lang w:val="en-US" w:eastAsia="zh-CN" w:bidi="ar"/>
          <w14:textFill>
            <w14:solidFill>
              <w14:schemeClr w14:val="tx1"/>
            </w14:solidFill>
          </w14:textFill>
        </w:rPr>
        <w:t>SG具体定义</w:t>
      </w: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。图二</w:t>
      </w: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highlight w:val="yellow"/>
          <w:lang w:val="en-US" w:eastAsia="zh-CN" w:bidi="ar"/>
        </w:rPr>
        <w:t>MARL基本框架</w:t>
      </w: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80" w:firstLineChars="200"/>
        <w:jc w:val="left"/>
        <w:textAlignment w:val="auto"/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MARLA缺点：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探索利用矛盾（Explore and Exploit）和维度灾难（Curse of Dimensionality）；多智能体环境非平稳性（None</w:t>
      </w: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stationary）问题；多智能体信度分配（Multiagent Credit</w:t>
      </w: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Assignment）问题；最优均衡解问题；学习目标选择问题等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380" w:firstLineChars="200"/>
        <w:jc w:val="left"/>
        <w:textAlignment w:val="auto"/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MARL和DL结合产生MDRL，</w:t>
      </w: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按照智能体之间的通联方式，大致将当前的 MDRL 方法分为：无关联型、通信规则型、互相协作型和建模学习型4大类</w:t>
      </w:r>
      <w:r>
        <w:rPr>
          <w:rFonts w:hint="eastAsia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drawing>
          <wp:inline distT="0" distB="0" distL="114300" distR="114300">
            <wp:extent cx="2386965" cy="1478280"/>
            <wp:effectExtent l="0" t="0" r="1333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drawing>
          <wp:inline distT="0" distB="0" distL="114300" distR="114300">
            <wp:extent cx="4408805" cy="1748155"/>
            <wp:effectExtent l="0" t="0" r="1079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drawing>
          <wp:inline distT="0" distB="0" distL="114300" distR="114300">
            <wp:extent cx="5269230" cy="199263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drawing>
          <wp:inline distT="0" distB="0" distL="114300" distR="114300">
            <wp:extent cx="5266055" cy="1175385"/>
            <wp:effectExtent l="0" t="0" r="1079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  <w:r>
        <w:drawing>
          <wp:inline distT="0" distB="0" distL="114300" distR="114300">
            <wp:extent cx="5267960" cy="1018540"/>
            <wp:effectExtent l="0" t="0" r="889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039110" cy="1135380"/>
            <wp:effectExtent l="0" t="0" r="8890" b="7620"/>
            <wp:docPr id="3" name="图片 3" descr="d6b155fd5501099cd4424616b55f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b155fd5501099cd4424616b55f2f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POMDP在这篇中有具体定义。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FZS3JW--GB1-0" w:hAnsi="FZS3JW--GB1-0" w:eastAsia="FZS3JW--GB1-0" w:cs="FZS3JW--GB1-0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3864610" cy="3103880"/>
            <wp:effectExtent l="0" t="0" r="2540" b="1270"/>
            <wp:docPr id="8" name="图片 8" descr="915228660a1313e9561217011366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15228660a1313e956121701136686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Multi-Agent Reinforcement Learning: a critical survey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instrText xml:space="preserve"> HYPERLINK "2 MARL a critical survey.pdf"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2 MARL a critical survey.pdf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博弈论，SGs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2560" cy="1460500"/>
            <wp:effectExtent l="0" t="0" r="15240" b="6350"/>
            <wp:docPr id="9" name="图片 9" descr="a2fecb8fab631600886ec0b3460c1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2fecb8fab631600886ec0b3460c1f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3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1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3A07"/>
    <w:rsid w:val="500D7A28"/>
    <w:rsid w:val="540C0DCC"/>
    <w:rsid w:val="6FE2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2020-07-01T07:51:00Z</dcterms:created>
  <dc:creator>Administrator</dc:creator>
  <cp:lastModifiedBy>Administrator</cp:lastModifiedBy>
  <dcterms:modified xsi:type="dcterms:W3CDTF">2020-07-07T08:24:31Z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