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d5f92811c4638962ab3e3664d1cf757eab90498"/>
    <w:p>
      <w:pPr>
        <w:pStyle w:val="Heading1"/>
      </w:pPr>
      <w:r>
        <w:t xml:space="preserve">Benchmarking Modern Vision Transformers against Selective State Space Models for Remote Sensing Hyperspectral Image Classification</w:t>
      </w:r>
    </w:p>
    <w:p>
      <w:pPr>
        <w:pStyle w:val="FirstParagraph"/>
      </w:pPr>
      <w:r>
        <w:rPr>
          <w:bCs/>
          <w:b/>
        </w:rPr>
        <w:t xml:space="preserve">A Minor Project Report</w:t>
      </w:r>
      <w:r>
        <w:br/>
      </w:r>
      <w:r>
        <w:rPr>
          <w:iCs/>
          <w:i/>
        </w:rPr>
        <w:t xml:space="preserve">Submitted in partial fulfillment of the requirements for the Degree of Bachelor of Technology in Computer Science and Engineering</w:t>
      </w:r>
    </w:p>
    <w:p>
      <w:r>
        <w:pict>
          <v:rect style="width:0;height:1.5pt" o:hralign="center" o:hrstd="t" o:hr="t"/>
        </w:pict>
      </w:r>
    </w:p>
    <w:bookmarkStart w:id="20" w:name="project-team"/>
    <w:p>
      <w:pPr>
        <w:pStyle w:val="Heading3"/>
      </w:pPr>
      <w:r>
        <w:rPr>
          <w:bCs/>
          <w:b/>
        </w:rPr>
        <w:t xml:space="preserve">Project Team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Prince Prajapati</w:t>
      </w:r>
      <w:r>
        <w:t xml:space="preserve"> </w:t>
      </w:r>
      <w:r>
        <w:t xml:space="preserve">(Team Lead) —</w:t>
      </w:r>
      <w:r>
        <w:t xml:space="preserve"> </w:t>
      </w:r>
      <w:r>
        <w:rPr>
          <w:iCs/>
          <w:i/>
        </w:rPr>
        <w:t xml:space="preserve">Roll No. / Enrollment No.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[Teammate 2 Name]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Roll No. / Enrollment No.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[Teammate 3 Name]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Roll No. / Enrollment No.</w:t>
      </w:r>
    </w:p>
    <w:p>
      <w:pPr>
        <w:pStyle w:val="FirstParagraph"/>
      </w:pPr>
      <w:r>
        <w:rPr>
          <w:bCs/>
          <w:b/>
        </w:rPr>
        <w:t xml:space="preserve">Project Guide / Supervisor:</w:t>
      </w:r>
      <w:r>
        <w:t xml:space="preserve"> </w:t>
      </w:r>
      <w:r>
        <w:t xml:space="preserve">Prof. [Supervisor Name], Department of Computer Science &amp; Engineering</w:t>
      </w:r>
      <w:r>
        <w:br/>
      </w:r>
      <w:r>
        <w:rPr>
          <w:bCs/>
          <w:b/>
        </w:rPr>
        <w:t xml:space="preserve">Institution:</w:t>
      </w:r>
      <w:r>
        <w:t xml:space="preserve"> </w:t>
      </w:r>
      <w:r>
        <w:t xml:space="preserve">[Institution / College Name]</w:t>
      </w:r>
      <w:r>
        <w:br/>
      </w:r>
      <w:r>
        <w:rPr>
          <w:bCs/>
          <w:b/>
        </w:rPr>
        <w:t xml:space="preserve">Academic Year:</w:t>
      </w:r>
      <w:r>
        <w:t xml:space="preserve"> </w:t>
      </w:r>
      <w:r>
        <w:t xml:space="preserve">2025–2026</w:t>
      </w:r>
    </w:p>
    <w:p>
      <w:r>
        <w:pict>
          <v:rect style="width:0;height:1.5pt" o:hralign="center" o:hrstd="t" o:hr="t"/>
        </w:pict>
      </w:r>
    </w:p>
    <w:bookmarkEnd w:id="20"/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Hyperspectral Image (HSI) classification poses significant computational and structural challenges due to the combination of high-dimensional spectral signatures, high spatial correlation, and severe training sample scarcity (few-shot regime). While classical Convolutional Neural Networks (CNNs) have long served as baselines, they struggle to model long-range spectral dependencies. Recent years witnessed the rise of Vision Transformers (ViTs); however, their quadratic self-attention complexity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presents severe memory bottlenecks on large remote sensing scenes. The year 2026 marks a paradigm shift with the introduction of cutting-edge</w:t>
      </w:r>
      <w:r>
        <w:t xml:space="preserve"> </w:t>
      </w:r>
      <w:r>
        <w:rPr>
          <w:bCs/>
          <w:b/>
        </w:rPr>
        <w:t xml:space="preserve">Macro-Micro Vision Transformers (</w:t>
      </w:r>
      <w:r>
        <w:rPr>
          <w:rStyle w:val="VerbatimChar"/>
          <w:bCs/>
          <w:b/>
        </w:rPr>
        <w:t xml:space="preserve">MMFormer</w:t>
      </w:r>
      <w:r>
        <w:rPr>
          <w:bCs/>
          <w:b/>
        </w:rP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Route-Reliability State Space Models (</w:t>
      </w:r>
      <w:r>
        <w:rPr>
          <w:rStyle w:val="VerbatimChar"/>
          <w:bCs/>
          <w:b/>
        </w:rPr>
        <w:t xml:space="preserve">R2Mamba</w:t>
      </w:r>
      <w:r>
        <w:rPr>
          <w:bCs/>
          <w:b/>
        </w:rPr>
        <w:t xml:space="preserve">)</w:t>
      </w:r>
      <w:r>
        <w:t xml:space="preserve">.</w:t>
      </w:r>
    </w:p>
    <w:p>
      <w:pPr>
        <w:pStyle w:val="BodyText"/>
      </w:pPr>
      <w:r>
        <w:t xml:space="preserve">This project provides a comprehensive, empirical benchmark comparing</w:t>
      </w:r>
      <w:r>
        <w:t xml:space="preserve"> </w:t>
      </w:r>
      <w:r>
        <w:rPr>
          <w:rStyle w:val="VerbatimChar"/>
        </w:rPr>
        <w:t xml:space="preserve">MMFormer</w:t>
      </w:r>
      <w:r>
        <w:t xml:space="preserve"> </w:t>
      </w:r>
      <w:r>
        <w:t xml:space="preserve">(</w:t>
      </w:r>
      <w:r>
        <w:rPr>
          <w:iCs/>
          <w:i/>
        </w:rPr>
        <w:t xml:space="preserve">IEEE TGRS 2026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R2Mamba</w:t>
      </w:r>
      <w:r>
        <w:t xml:space="preserve"> </w:t>
      </w:r>
      <w:r>
        <w:t xml:space="preserve">(</w:t>
      </w:r>
      <w:r>
        <w:rPr>
          <w:iCs/>
          <w:i/>
        </w:rPr>
        <w:t xml:space="preserve">IEEE JSTARS 2026</w:t>
      </w:r>
      <w:r>
        <w:t xml:space="preserve">) under identical experimental protocols across two premier benchmark datasets:</w:t>
      </w:r>
      <w:r>
        <w:t xml:space="preserve"> </w:t>
      </w:r>
      <w:r>
        <w:rPr>
          <w:bCs/>
          <w:b/>
        </w:rPr>
        <w:t xml:space="preserve">Indian Pines (NASA AVIRIS)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Pavia University (DLR ROSIS)</w:t>
      </w:r>
      <w:r>
        <w:t xml:space="preserve">. To eliminate stochastic bias and ensure reproducibility, all experiments are evaluated over</w:t>
      </w:r>
      <w:r>
        <w:t xml:space="preserve"> </w:t>
      </w:r>
      <w:r>
        <w:rPr>
          <w:bCs/>
          <w:b/>
        </w:rPr>
        <w:t xml:space="preserve">three independent seeded runs</w:t>
      </w:r>
      <w:r>
        <w:t xml:space="preserve"> </w:t>
      </w:r>
      <w:r>
        <w:t xml:space="preserve">(Seeds 1, 2, 3), reporting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Standard Deviation across Overall Accuracy (OA), Average Accuracy (AA), and Kappa Coefficient (</w:t>
      </w:r>
      <m:oMath>
        <m:r>
          <m:t>κ</m:t>
        </m:r>
      </m:oMath>
      <w:r>
        <w:t xml:space="preserve">).</w:t>
      </w:r>
    </w:p>
    <w:p>
      <w:pPr>
        <w:pStyle w:val="BodyText"/>
      </w:pPr>
      <w:r>
        <w:t xml:space="preserve">Our empirical results demonstrate that</w:t>
      </w:r>
      <w:r>
        <w:t xml:space="preserve"> </w:t>
      </w:r>
      <w:r>
        <w:rPr>
          <w:rStyle w:val="VerbatimChar"/>
          <w:bCs/>
          <w:b/>
        </w:rPr>
        <w:t xml:space="preserve">R2Mamba</w:t>
      </w:r>
      <w:r>
        <w:rPr>
          <w:bCs/>
          <w:b/>
        </w:rPr>
        <w:t xml:space="preserve"> </w:t>
      </w:r>
      <w:r>
        <w:rPr>
          <w:bCs/>
          <w:b/>
        </w:rPr>
        <w:t xml:space="preserve">significantly outperforms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MMFormer</w:t>
      </w:r>
      <w:r>
        <w:t xml:space="preserve">:</w:t>
      </w:r>
      <w:r>
        <w:t xml:space="preserve"> </w:t>
      </w:r>
      <w:r>
        <w:t xml:space="preserve">1. On</w:t>
      </w:r>
      <w:r>
        <w:t xml:space="preserve"> </w:t>
      </w:r>
      <w:r>
        <w:rPr>
          <w:bCs/>
          <w:b/>
        </w:rPr>
        <w:t xml:space="preserve">Indian Pines (16 classes)</w:t>
      </w:r>
      <w:r>
        <w:t xml:space="preserve">,</w:t>
      </w:r>
      <w:r>
        <w:t xml:space="preserve"> </w:t>
      </w:r>
      <w:r>
        <w:rPr>
          <w:rStyle w:val="VerbatimChar"/>
        </w:rPr>
        <w:t xml:space="preserve">R2Mamba</w:t>
      </w:r>
      <w:r>
        <w:t xml:space="preserve"> </w:t>
      </w:r>
      <w:r>
        <w:t xml:space="preserve">achieves</w:t>
      </w:r>
      <w:r>
        <w:t xml:space="preserve"> </w:t>
      </w:r>
      <m:oMath>
        <m:r>
          <m:t>83.89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1.66</m:t>
        </m:r>
        <m:r>
          <m:rPr>
            <m:sty m:val="p"/>
          </m:rPr>
          <m:t>%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OA</w:t>
      </w:r>
      <w:r>
        <w:t xml:space="preserve"> </w:t>
      </w:r>
      <w:r>
        <w:t xml:space="preserve">vs. </w:t>
      </w:r>
      <m:oMath>
        <m:r>
          <m:t>76.41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3.84</m:t>
        </m:r>
        <m:r>
          <m:rPr>
            <m:sty m:val="p"/>
          </m:rPr>
          <m:t>%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OA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MMFormer</w:t>
      </w:r>
      <w:r>
        <w:t xml:space="preserve"> </w:t>
      </w:r>
      <w:r>
        <w:t xml:space="preserve">(</w:t>
      </w:r>
      <w:r>
        <w:rPr>
          <w:bCs/>
          <w:b/>
        </w:rPr>
        <w:t xml:space="preserve">+7.48% gain</w:t>
      </w:r>
      <w:r>
        <w:t xml:space="preserve">), while executing</w:t>
      </w:r>
      <w:r>
        <w:t xml:space="preserve"> </w:t>
      </w:r>
      <m:oMath>
        <m:r>
          <m:t>2.9</m:t>
        </m:r>
        <m:r>
          <m:rPr>
            <m:sty m:val="p"/>
          </m:rPr>
          <m:t>×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faster</w:t>
      </w:r>
      <w:r>
        <w:t xml:space="preserve"> </w:t>
      </w:r>
      <w:r>
        <w:t xml:space="preserve">(~26s vs. ~75s per run).</w:t>
      </w:r>
      <w:r>
        <w:t xml:space="preserve"> </w:t>
      </w:r>
      <w:r>
        <w:t xml:space="preserve">2. On</w:t>
      </w:r>
      <w:r>
        <w:t xml:space="preserve"> </w:t>
      </w:r>
      <w:r>
        <w:rPr>
          <w:bCs/>
          <w:b/>
        </w:rPr>
        <w:t xml:space="preserve">Pavia University (9 classes)</w:t>
      </w:r>
      <w:r>
        <w:t xml:space="preserve">,</w:t>
      </w:r>
      <w:r>
        <w:t xml:space="preserve"> </w:t>
      </w:r>
      <w:r>
        <w:rPr>
          <w:rStyle w:val="VerbatimChar"/>
        </w:rPr>
        <w:t xml:space="preserve">R2Mamba</w:t>
      </w:r>
      <w:r>
        <w:t xml:space="preserve"> </w:t>
      </w:r>
      <w:r>
        <w:t xml:space="preserve">attains</w:t>
      </w:r>
      <w:r>
        <w:t xml:space="preserve"> </w:t>
      </w:r>
      <m:oMath>
        <m:r>
          <m:t>97.59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0.60</m:t>
        </m:r>
        <m:r>
          <m:rPr>
            <m:sty m:val="p"/>
          </m:rPr>
          <m:t>%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OA</w:t>
      </w:r>
      <w:r>
        <w:t xml:space="preserve"> </w:t>
      </w:r>
      <w:r>
        <w:t xml:space="preserve">(peak OA:</w:t>
      </w:r>
      <w:r>
        <w:t xml:space="preserve"> </w:t>
      </w:r>
      <m:oMath>
        <m:r>
          <m:t>98.03</m:t>
        </m:r>
        <m:r>
          <m:rPr>
            <m:sty m:val="p"/>
          </m:rPr>
          <m:t>%</m:t>
        </m:r>
      </m:oMath>
      <w:r>
        <w:t xml:space="preserve">) compared to</w:t>
      </w:r>
      <w:r>
        <w:t xml:space="preserve"> </w:t>
      </w:r>
      <m:oMath>
        <m:r>
          <m:t>92.45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5.98</m:t>
        </m:r>
        <m:r>
          <m:rPr>
            <m:sty m:val="p"/>
          </m:rPr>
          <m:t>%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OA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MMFormer</w:t>
      </w:r>
      <w:r>
        <w:t xml:space="preserve"> </w:t>
      </w:r>
      <w:r>
        <w:t xml:space="preserve">(</w:t>
      </w:r>
      <w:r>
        <w:rPr>
          <w:bCs/>
          <w:b/>
        </w:rPr>
        <w:t xml:space="preserve">+5.14% gain</w:t>
      </w:r>
      <w:r>
        <w:t xml:space="preserve">), with nearly</w:t>
      </w:r>
      <w:r>
        <w:t xml:space="preserve"> </w:t>
      </w:r>
      <m:oMath>
        <m:r>
          <m:t>10</m:t>
        </m:r>
        <m:r>
          <m:rPr>
            <m:sty m:val="p"/>
          </m:rPr>
          <m:t>×</m:t>
        </m:r>
      </m:oMath>
      <w:r>
        <w:t xml:space="preserve"> </w:t>
      </w:r>
      <w:r>
        <w:t xml:space="preserve">lower variance and a</w:t>
      </w:r>
      <w:r>
        <w:t xml:space="preserve"> </w:t>
      </w:r>
      <m:oMath>
        <m:r>
          <m:t>3.5</m:t>
        </m:r>
        <m:r>
          <m:rPr>
            <m:sty m:val="p"/>
          </m:rPr>
          <m:t>×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speedup</w:t>
      </w:r>
      <w:r>
        <w:t xml:space="preserve"> </w:t>
      </w:r>
      <w:r>
        <w:t xml:space="preserve">(~40s vs. ~140s per run).</w:t>
      </w:r>
    </w:p>
    <w:p>
      <w:pPr>
        <w:pStyle w:val="BodyText"/>
      </w:pPr>
      <w:r>
        <w:t xml:space="preserve">These findings confirm that selective State Space Models with linear complexity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provide superior discriminative capability, convergence stability, and computational scalability over attention-based transformers in small-sample remote sensing domains.</w:t>
      </w:r>
    </w:p>
    <w:p>
      <w:r>
        <w:pict>
          <v:rect style="width:0;height:1.5pt" o:hralign="center" o:hrstd="t" o:hr="t"/>
        </w:pict>
      </w:r>
    </w:p>
    <w:bookmarkEnd w:id="21"/>
    <w:bookmarkStart w:id="25" w:name="chapter-1-introduction"/>
    <w:p>
      <w:pPr>
        <w:pStyle w:val="Heading2"/>
      </w:pPr>
      <w:r>
        <w:t xml:space="preserve">Chapter 1: Introduction</w:t>
      </w:r>
    </w:p>
    <w:bookmarkStart w:id="22" w:name="background-remote-sensing"/>
    <w:p>
      <w:pPr>
        <w:pStyle w:val="Heading3"/>
      </w:pPr>
      <w:r>
        <w:t xml:space="preserve">1.1 Background &amp; Remote Sensing</w:t>
      </w:r>
    </w:p>
    <w:p>
      <w:pPr>
        <w:pStyle w:val="FirstParagraph"/>
      </w:pPr>
      <w:r>
        <w:t xml:space="preserve">Remote sensing hyperspectral imaging (HSI) captures radiant energy across hundreds of narrow, contiguous spectral bands spanning the visible, near-infrared (NIR), and short-wave infrared (SWIR) wavelengths. Unlike conventional RGB imagery that records only three broad color channels, each pixel in an HSI scene forms a continuous spectral reflectance curve—effectively acting as a unique diagnostic</w:t>
      </w:r>
      <w:r>
        <w:t xml:space="preserve"> </w:t>
      </w:r>
      <w:r>
        <w:t xml:space="preserve">“</w:t>
      </w:r>
      <w:r>
        <w:t xml:space="preserve">fingerprint</w:t>
      </w:r>
      <w:r>
        <w:t xml:space="preserve">”</w:t>
      </w:r>
      <w:r>
        <w:t xml:space="preserve"> </w:t>
      </w:r>
      <w:r>
        <w:t xml:space="preserve">that identifies surface materials based on molecular and atomic absorption characteristics.</w:t>
      </w:r>
    </w:p>
    <w:p>
      <w:pPr>
        <w:pStyle w:val="BodyText"/>
      </w:pPr>
      <w:r>
        <w:t xml:space="preserve">Hyperspectral image classification—assigning each pixel to a land-cover or material class—serves as the foundational analysis step for vital real-world tasks: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Precision Agriculture:</w:t>
      </w:r>
      <w:r>
        <w:t xml:space="preserve"> </w:t>
      </w:r>
      <w:r>
        <w:t xml:space="preserve">Monitoring crop vigor, identifying crop strains, detecting early weed infestations, and measuring soil nitrogen/moisture gradients.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Urban Planning:</w:t>
      </w:r>
      <w:r>
        <w:t xml:space="preserve"> </w:t>
      </w:r>
      <w:r>
        <w:t xml:space="preserve">Segmenting impervious surfaces, differentiating asphalt compositions, distinguishing metallic vs. tiled roofing, and cataloging urban tree canopies.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Environmental &amp; Planetary Science:</w:t>
      </w:r>
      <w:r>
        <w:t xml:space="preserve"> </w:t>
      </w:r>
      <w:r>
        <w:t xml:space="preserve">Mapping mineral deposits, monitoring forest degradation, tracking coastal algal blooms, and planetary surface geology (e.g., Mars CRISM mineral mapping).</w:t>
      </w:r>
    </w:p>
    <w:bookmarkEnd w:id="22"/>
    <w:bookmarkStart w:id="23" w:name="problem-statement-challenges"/>
    <w:p>
      <w:pPr>
        <w:pStyle w:val="Heading3"/>
      </w:pPr>
      <w:r>
        <w:t xml:space="preserve">1.2 Problem Statement &amp; Challenges</w:t>
      </w:r>
    </w:p>
    <w:p>
      <w:pPr>
        <w:pStyle w:val="FirstParagraph"/>
      </w:pPr>
      <w:r>
        <w:t xml:space="preserve">Despite its capabilities, HSI classification encounters three fundamental bottlenecks: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Curse of Dimensionality (Hughes Phenomenon):</w:t>
      </w:r>
      <w:r>
        <w:t xml:space="preserve"> </w:t>
      </w:r>
      <w:r>
        <w:t xml:space="preserve">With 100 to 200+ raw spectral bands exhibiting strong cross-band correlation, the parameter space grows exponentially, leading to severe overfitting when training data is scarce.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Few-Shot Label Scarcity:</w:t>
      </w:r>
      <w:r>
        <w:t xml:space="preserve"> </w:t>
      </w:r>
      <w:r>
        <w:t xml:space="preserve">Ground-truth collection requires exhaustive on-site physical field surveys (ground truthing). Consequently, practical datasets contain very few labeled pixels per class (often only 10 to 30 training samples).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Computational Complexity Bottleneck:</w:t>
      </w:r>
      <w:r>
        <w:t xml:space="preserve"> </w:t>
      </w:r>
      <w:r>
        <w:t xml:space="preserve">Standard Vision Transformers compute all-to-all self-attention, whose time and memory complexity scales quadratically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with the number of tokens. On multi-megapixel remote sensing scenes, this results in extreme memory overhead and slow training latency.</w:t>
      </w:r>
    </w:p>
    <w:bookmarkEnd w:id="23"/>
    <w:bookmarkStart w:id="24" w:name="project-objectives"/>
    <w:p>
      <w:pPr>
        <w:pStyle w:val="Heading3"/>
      </w:pPr>
      <w:r>
        <w:t xml:space="preserve">1.3 Project Objectives</w:t>
      </w:r>
    </w:p>
    <w:p>
      <w:pPr>
        <w:pStyle w:val="FirstParagraph"/>
      </w:pPr>
      <w:r>
        <w:t xml:space="preserve">The primary objectives of this project are:</w:t>
      </w:r>
      <w:r>
        <w:t xml:space="preserve"> </w:t>
      </w:r>
      <w:r>
        <w:t xml:space="preserve">1. Establish a modular, reproducible PyTorch benchmarking framework for hyperspectral image classification.</w:t>
      </w:r>
      <w:r>
        <w:t xml:space="preserve"> </w:t>
      </w:r>
      <w:r>
        <w:t xml:space="preserve">2. Conduct a two-phase study: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1:</w:t>
      </w:r>
      <w:r>
        <w:t xml:space="preserve"> </w:t>
      </w:r>
      <w:r>
        <w:t xml:space="preserve">Pipeline validation using five representative historical baselines (</w:t>
      </w:r>
      <w:r>
        <w:rPr>
          <w:rStyle w:val="VerbatimChar"/>
        </w:rPr>
        <w:t xml:space="preserve">HybridSN</w:t>
      </w:r>
      <w:r>
        <w:t xml:space="preserve">,</w:t>
      </w:r>
      <w:r>
        <w:t xml:space="preserve"> </w:t>
      </w:r>
      <w:r>
        <w:rPr>
          <w:rStyle w:val="VerbatimChar"/>
        </w:rPr>
        <w:t xml:space="preserve">SSRN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pResNet</w:t>
      </w:r>
      <w:r>
        <w:t xml:space="preserve">,</w:t>
      </w:r>
      <w:r>
        <w:t xml:space="preserve"> </w:t>
      </w:r>
      <w:r>
        <w:rPr>
          <w:rStyle w:val="VerbatimChar"/>
        </w:rPr>
        <w:t xml:space="preserve">DBDA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SpectralFormer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2:</w:t>
      </w:r>
      <w:r>
        <w:t xml:space="preserve"> </w:t>
      </w:r>
      <w:r>
        <w:t xml:space="preserve">A head-to-head empirical investigation of the two newest 2026 architectures:</w:t>
      </w:r>
      <w:r>
        <w:t xml:space="preserve"> </w:t>
      </w:r>
      <w:r>
        <w:rPr>
          <w:rStyle w:val="VerbatimChar"/>
        </w:rPr>
        <w:t xml:space="preserve">MMFormer</w:t>
      </w:r>
      <w:r>
        <w:t xml:space="preserve"> </w:t>
      </w:r>
      <w:r>
        <w:t xml:space="preserve">(Vision Transformer) versus</w:t>
      </w:r>
      <w:r>
        <w:t xml:space="preserve"> </w:t>
      </w:r>
      <w:r>
        <w:rPr>
          <w:rStyle w:val="VerbatimChar"/>
        </w:rPr>
        <w:t xml:space="preserve">R2Mamba</w:t>
      </w:r>
      <w:r>
        <w:t xml:space="preserve"> </w:t>
      </w:r>
      <w:r>
        <w:t xml:space="preserve">(State Space Model).</w:t>
      </w:r>
      <w:r>
        <w:t xml:space="preserve"> </w:t>
      </w:r>
      <w:r>
        <w:t xml:space="preserve">3. Evaluate models under identical pre-processing (PCA to 30 bands), fixed spatial patch windows (</w:t>
      </w:r>
      <m:oMath>
        <m:r>
          <m:t>11</m:t>
        </m:r>
        <m:r>
          <m:rPr>
            <m:sty m:val="p"/>
          </m:rPr>
          <m:t>×</m:t>
        </m:r>
        <m:r>
          <m:t>11</m:t>
        </m:r>
      </m:oMath>
      <w:r>
        <w:t xml:space="preserve">), identical few-shot sample splits, and three seeded runs to report genuine statistical variance (Mean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Std).</w:t>
      </w:r>
      <w:r>
        <w:t xml:space="preserve"> </w:t>
      </w:r>
      <w:r>
        <w:t xml:space="preserve">4. Quantitatively and qualitatively evaluate classification performance using Overall Accuracy (OA), Average Accuracy (AA), Kappa (</w:t>
      </w:r>
      <m:oMath>
        <m:r>
          <m:t>κ</m:t>
        </m:r>
      </m:oMath>
      <w:r>
        <w:t xml:space="preserve">), and full-scene visual prediction maps.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chapter-2-literature-review-related-work"/>
    <w:p>
      <w:pPr>
        <w:pStyle w:val="Heading2"/>
      </w:pPr>
      <w:r>
        <w:t xml:space="preserve">Chapter 2: Literature Review &amp; Related Work</w:t>
      </w:r>
    </w:p>
    <w:p>
      <w:pPr>
        <w:pStyle w:val="FirstParagraph"/>
      </w:pPr>
      <w:r>
        <w:t xml:space="preserve">The architectural paradigm for hyperspectral classification has progressed through three distinct eras: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Paradigm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Prominent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Advantages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Limitations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2017–2020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2D / 3D CNNs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SSRN (2017), HybridSN (2019), DBDA (2020), pResNet (2019)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spatial-spectral inductive bias; translation equivariance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Receptive field is bounded by local kernels; cannot model long-range spectral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2021–2024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Vision Transformers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SpectralFormer (2021), SSFTTNet (2022), GAHT (2023), MASSFormer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receptive field via self-attention; dynamic token weighting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Quadratic computational complexity</w:t>
            </w:r>
            <w: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t xml:space="preserve">; high variance under few-shot sample regimes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2024–2026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 Space Models (SSMs)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MambaHSI (2024), SSMamba (2024),</w:t>
            </w:r>
            <w:r>
              <w:t xml:space="preserve"> </w:t>
            </w:r>
            <w:r>
              <w:rPr>
                <w:bCs/>
                <w:b/>
              </w:rPr>
              <w:t xml:space="preserve">R2Mamba (2026)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complexity</w:t>
            </w:r>
            <w: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t xml:space="preserve">; continuous sequence memory; selective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customized CUDA compilation; sensitive to route scanning order</w:t>
            </w:r>
          </w:p>
        </w:tc>
      </w:tr>
    </w:tbl>
    <w:bookmarkStart w:id="26" w:name="the-convolutional-era-20172020"/>
    <w:p>
      <w:pPr>
        <w:pStyle w:val="Heading3"/>
      </w:pPr>
      <w:r>
        <w:t xml:space="preserve">2.1 The Convolutional Era (2017–2020)</w:t>
      </w:r>
    </w:p>
    <w:p>
      <w:pPr>
        <w:pStyle w:val="FirstParagraph"/>
      </w:pPr>
      <w:r>
        <w:t xml:space="preserve">Early deep learning approaches applied 2D Convolutional Neural Networks on dimensionality-reduced HSI data. Zhong et al. (2017) introduced</w:t>
      </w:r>
      <w:r>
        <w:t xml:space="preserve"> </w:t>
      </w:r>
      <w:r>
        <w:rPr>
          <w:bCs/>
          <w:b/>
        </w:rPr>
        <w:t xml:space="preserve">SSRN</w:t>
      </w:r>
      <w:r>
        <w:t xml:space="preserve"> </w:t>
      </w:r>
      <w:r>
        <w:t xml:space="preserve">(Spectral-Spatial Residual Network), which segregated 3D spectral convolutions from 3D spatial convolutions with residual connections. Roy et al. (2019) introduced</w:t>
      </w:r>
      <w:r>
        <w:t xml:space="preserve"> </w:t>
      </w:r>
      <w:r>
        <w:rPr>
          <w:bCs/>
          <w:b/>
        </w:rPr>
        <w:t xml:space="preserve">HybridSN</w:t>
      </w:r>
      <w:r>
        <w:t xml:space="preserve">, combining 3D convolutions for low-level spectral-spatial feature extraction with 2D convolutions for higher-level spatial abstraction. While efficient, CNNs inherently rely on local inductive biases and struggle to model spectral teleconnections across non-adjacent bands.</w:t>
      </w:r>
    </w:p>
    <w:bookmarkEnd w:id="26"/>
    <w:bookmarkStart w:id="27" w:name="the-transformer-era-20212024"/>
    <w:p>
      <w:pPr>
        <w:pStyle w:val="Heading3"/>
      </w:pPr>
      <w:r>
        <w:t xml:space="preserve">2.2 The Transformer Era (2021–2024)</w:t>
      </w:r>
    </w:p>
    <w:p>
      <w:pPr>
        <w:pStyle w:val="FirstParagraph"/>
      </w:pPr>
      <w:r>
        <w:t xml:space="preserve">Inspired by ViT (Dosovitskiy et al.), Hong et al. (2021) proposed</w:t>
      </w:r>
      <w:r>
        <w:t xml:space="preserve"> </w:t>
      </w:r>
      <w:r>
        <w:rPr>
          <w:bCs/>
          <w:b/>
        </w:rPr>
        <w:t xml:space="preserve">SpectralFormer</w:t>
      </w:r>
      <w:r>
        <w:t xml:space="preserve">, pioneering token-based spectral sequence modeling. Subsequent works such as</w:t>
      </w:r>
      <w:r>
        <w:t xml:space="preserve"> </w:t>
      </w:r>
      <w:r>
        <w:rPr>
          <w:bCs/>
          <w:b/>
        </w:rPr>
        <w:t xml:space="preserve">MorphFormer</w:t>
      </w:r>
      <w:r>
        <w:t xml:space="preserve"> </w:t>
      </w:r>
      <w:r>
        <w:t xml:space="preserve">(2023) and</w:t>
      </w:r>
      <w:r>
        <w:t xml:space="preserve"> </w:t>
      </w:r>
      <w:r>
        <w:rPr>
          <w:bCs/>
          <w:b/>
        </w:rPr>
        <w:t xml:space="preserve">MASSFormer</w:t>
      </w:r>
      <w:r>
        <w:t xml:space="preserve"> </w:t>
      </w:r>
      <w:r>
        <w:t xml:space="preserve">(2024) introduced memory-augmented and morphological tokens. However, standard multi-head self-attention computes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attention matrix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spatial-spectral tokens: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Attention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V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m:t>V</m:t>
          </m:r>
        </m:oMath>
      </m:oMathPara>
    </w:p>
    <w:p>
      <w:pPr>
        <w:pStyle w:val="FirstParagraph"/>
      </w:pPr>
      <w:r>
        <w:t xml:space="preserve">This quadratic cost (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) severely degrades training and inference throughput on large remote sensing spatial grids.</w:t>
      </w:r>
    </w:p>
    <w:bookmarkEnd w:id="27"/>
    <w:bookmarkStart w:id="28" w:name="Xa9425437e5bbd1f5e4e8592b26cc105e439bdea"/>
    <w:p>
      <w:pPr>
        <w:pStyle w:val="Heading3"/>
      </w:pPr>
      <w:r>
        <w:t xml:space="preserve">2.3 The Mamba / State Space Revolution (2024–2026)</w:t>
      </w:r>
    </w:p>
    <w:p>
      <w:pPr>
        <w:pStyle w:val="FirstParagraph"/>
      </w:pPr>
      <w:r>
        <w:t xml:space="preserve">To overcome the quadratic wall of Transformers while preserving global context modeling, Gu and Dao (2023) formulated</w:t>
      </w:r>
      <w:r>
        <w:t xml:space="preserve"> </w:t>
      </w:r>
      <w:r>
        <w:rPr>
          <w:bCs/>
          <w:b/>
        </w:rPr>
        <w:t xml:space="preserve">Mamba</w:t>
      </w:r>
      <w:r>
        <w:t xml:space="preserve"> </w:t>
      </w:r>
      <w:r>
        <w:t xml:space="preserve">(Selective State Space Models). By parameterizing the continuous linear time-invariant (LTI) system: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r>
            <m:t>B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C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and discretizing it into input-dependent selective recurrence, Mamba achieves</w:t>
      </w:r>
      <w:r>
        <w:t xml:space="preserve"> </w:t>
      </w:r>
      <w:r>
        <w:rPr>
          <w:bCs/>
          <w:b/>
        </w:rPr>
        <w:t xml:space="preserve">linear complexity</w:t>
      </w:r>
      <w:r>
        <w:rPr>
          <w:bCs/>
          <w:b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with hardware-aware parallel scans. In remote sensing,</w:t>
      </w:r>
      <w:r>
        <w:t xml:space="preserve"> </w:t>
      </w:r>
      <w:r>
        <w:rPr>
          <w:bCs/>
          <w:b/>
        </w:rPr>
        <w:t xml:space="preserve">MambaHSI</w:t>
      </w:r>
      <w:r>
        <w:t xml:space="preserve"> </w:t>
      </w:r>
      <w:r>
        <w:t xml:space="preserve">(2024) and</w:t>
      </w:r>
      <w:r>
        <w:t xml:space="preserve"> </w:t>
      </w:r>
      <w:r>
        <w:rPr>
          <w:bCs/>
          <w:b/>
        </w:rPr>
        <w:t xml:space="preserve">R2Mamba</w:t>
      </w:r>
      <w:r>
        <w:t xml:space="preserve"> </w:t>
      </w:r>
      <w:r>
        <w:t xml:space="preserve">(2026) adapted this framework to multidirectional spatial-spectral scanning, demonstrating remarkable efficiency.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9c94cea6d83d70accef4593c8aa00a945a2a60c"/>
    <w:p>
      <w:pPr>
        <w:pStyle w:val="Heading2"/>
      </w:pPr>
      <w:r>
        <w:t xml:space="preserve">Chapter 3: System Methodology &amp; Architecture</w:t>
      </w:r>
    </w:p>
    <w:bookmarkStart w:id="30" w:name="end-to-end-pipeline"/>
    <w:p>
      <w:pPr>
        <w:pStyle w:val="Heading3"/>
      </w:pPr>
      <w:r>
        <w:t xml:space="preserve">3.1 End-to-End Pipeline</w:t>
      </w:r>
    </w:p>
    <w:p>
      <w:pPr>
        <w:pStyle w:val="FirstParagraph"/>
      </w:pPr>
      <w:r>
        <w:t xml:space="preserve">The project pipeline follows a systematic, reproducible workflow: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Automated Data Ingestion:</w:t>
      </w:r>
      <w:r>
        <w:t xml:space="preserve"> </w:t>
      </w:r>
      <w:r>
        <w:t xml:space="preserve">Datasets are retrieved from the HuggingFace repository and cached locally.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Spectral Dimensionality Reduction:</w:t>
      </w:r>
      <w:r>
        <w:t xml:space="preserve"> </w:t>
      </w:r>
      <w:r>
        <w:t xml:space="preserve">Principal Component Analysis (PCA) reduces raw bands (up to 200) to 30 principal components, capturing</w:t>
      </w:r>
      <w:r>
        <w:t xml:space="preserve"> </w:t>
      </w:r>
      <m:oMath>
        <m:r>
          <m:rPr>
            <m:sty m:val="p"/>
          </m:rPr>
          <m:t>&gt;</m:t>
        </m:r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spectral variance while eliminating sensor noise.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On-the-Fly Patch Extraction:</w:t>
      </w:r>
      <w:r>
        <w:t xml:space="preserve"> </w:t>
      </w:r>
      <w:r>
        <w:t xml:space="preserve">To prevent RAM exhaustion, spatial patches of size</w:t>
      </w:r>
      <w:r>
        <w:t xml:space="preserve"> </w:t>
      </w:r>
      <m:oMath>
        <m:r>
          <m:t>11</m:t>
        </m:r>
        <m:r>
          <m:rPr>
            <m:sty m:val="p"/>
          </m:rPr>
          <m:t>×</m:t>
        </m:r>
        <m:r>
          <m:t>11</m:t>
        </m:r>
      </m:oMath>
      <w:r>
        <w:t xml:space="preserve"> </w:t>
      </w:r>
      <w:r>
        <w:t xml:space="preserve">centered on labeled pixels are extracted dynamically by PyTorch</w:t>
      </w:r>
      <w:r>
        <w:t xml:space="preserve"> </w:t>
      </w:r>
      <w:r>
        <w:rPr>
          <w:rStyle w:val="VerbatimChar"/>
        </w:rPr>
        <w:t xml:space="preserve">DataLoader</w:t>
      </w:r>
      <w:r>
        <w:t xml:space="preserve"> </w:t>
      </w:r>
      <w:r>
        <w:t xml:space="preserve">instances.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Few-Shot Split Protocol:</w:t>
      </w:r>
      <w:r>
        <w:t xml:space="preserve"> </w:t>
      </w:r>
      <w:r>
        <w:t xml:space="preserve">Strict class-balanced sample partitioning with per-run seeds (</w:t>
      </w:r>
      <w:r>
        <w:rPr>
          <w:rStyle w:val="VerbatimChar"/>
        </w:rPr>
        <w:t xml:space="preserve">seeds: [1, 2, 3]</w:t>
      </w:r>
      <w:r>
        <w:t xml:space="preserve">).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Model Training &amp; Optimization:</w:t>
      </w:r>
      <w:r>
        <w:t xml:space="preserve"> </w:t>
      </w:r>
      <w:r>
        <w:t xml:space="preserve">Supervised cross-entropy minimization with Adam optimizer and early stopping.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Evaluation &amp; Artifact Generation:</w:t>
      </w:r>
      <w:r>
        <w:t xml:space="preserve"> </w:t>
      </w:r>
      <w:r>
        <w:t xml:space="preserve">Calculation of Overall Accuracy (OA), Average Accuracy (AA), Kappa (</w:t>
      </w:r>
      <m:oMath>
        <m:r>
          <m:t>κ</m:t>
        </m:r>
      </m:oMath>
      <w:r>
        <w:t xml:space="preserve">), generation of publication-ready LaTeX tables, and classification map visualization.</w:t>
      </w:r>
    </w:p>
    <w:bookmarkEnd w:id="30"/>
    <w:bookmarkStart w:id="33" w:name="architectures-under-evaluation"/>
    <w:p>
      <w:pPr>
        <w:pStyle w:val="Heading3"/>
      </w:pPr>
      <w:r>
        <w:t xml:space="preserve">3.2 Architectures Under Evaluation</w:t>
      </w:r>
    </w:p>
    <w:bookmarkStart w:id="31" w:name="mmformer-macro-micro-vision-transformer"/>
    <w:p>
      <w:pPr>
        <w:pStyle w:val="Heading4"/>
      </w:pPr>
      <w:r>
        <w:t xml:space="preserve">3.2.1 MMFormer (Macro-Micro Vision Transformer)</w:t>
      </w:r>
    </w:p>
    <w:p>
      <w:pPr>
        <w:pStyle w:val="FirstParagraph"/>
      </w:pPr>
      <w:r>
        <w:t xml:space="preserve">Published in</w:t>
      </w:r>
      <w:r>
        <w:t xml:space="preserve"> </w:t>
      </w:r>
      <w:r>
        <w:rPr>
          <w:iCs/>
          <w:i/>
        </w:rPr>
        <w:t xml:space="preserve">IEEE Transactions on Geoscience and Remote Sensing (TGRS)</w:t>
      </w:r>
      <w:r>
        <w:t xml:space="preserve"> </w:t>
      </w:r>
      <w:r>
        <w:t xml:space="preserve">in 2026,</w:t>
      </w:r>
      <w:r>
        <w:t xml:space="preserve"> </w:t>
      </w:r>
      <w:r>
        <w:rPr>
          <w:bCs/>
          <w:b/>
        </w:rPr>
        <w:t xml:space="preserve">MMFormer</w:t>
      </w:r>
      <w:r>
        <w:t xml:space="preserve"> </w:t>
      </w:r>
      <w:r>
        <w:t xml:space="preserve">addresses spatial scale disparity via a dual-branch architecture: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Macro Branch:</w:t>
      </w:r>
      <w:r>
        <w:t xml:space="preserve"> </w:t>
      </w:r>
      <w:r>
        <w:t xml:space="preserve">Downsamples the input patch into coarse semantic tokens, allowing the network to capture global scene context and regional field geometry.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Micro Branch:</w:t>
      </w:r>
      <w:r>
        <w:t xml:space="preserve"> </w:t>
      </w:r>
      <w:r>
        <w:t xml:space="preserve">Operates at fine resolution to preserve high-frequency spectral transitions and subtle boundary textures.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Interactive Cross-Attention:</w:t>
      </w:r>
      <w:r>
        <w:t xml:space="preserve"> </w:t>
      </w:r>
      <w:r>
        <w:t xml:space="preserve">A cross-scale attention bridge dynamically aligns macro contextual features with micro spectral tokens, fusing them into a unified feature descriptor before classification.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Retains quadratic token self-attention: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</w:t>
      </w:r>
    </w:p>
    <w:bookmarkEnd w:id="31"/>
    <w:bookmarkStart w:id="32" w:name="X484c79f20bd6213cb3fcbb1ba36228e56de4e26"/>
    <w:p>
      <w:pPr>
        <w:pStyle w:val="Heading4"/>
      </w:pPr>
      <w:r>
        <w:t xml:space="preserve">3.2.2 R2Mamba (Route-Reliability State Space Model)</w:t>
      </w:r>
    </w:p>
    <w:p>
      <w:pPr>
        <w:pStyle w:val="FirstParagraph"/>
      </w:pPr>
      <w:r>
        <w:t xml:space="preserve">Published in</w:t>
      </w:r>
      <w:r>
        <w:t xml:space="preserve"> </w:t>
      </w:r>
      <w:r>
        <w:rPr>
          <w:iCs/>
          <w:i/>
        </w:rPr>
        <w:t xml:space="preserve">IEEE Journal of Selected Topics in Applied Earth Observations and Remote Sensing (JSTARS)</w:t>
      </w:r>
      <w:r>
        <w:t xml:space="preserve"> </w:t>
      </w:r>
      <w:r>
        <w:t xml:space="preserve">in 2026,</w:t>
      </w:r>
      <w:r>
        <w:t xml:space="preserve"> </w:t>
      </w:r>
      <w:r>
        <w:rPr>
          <w:bCs/>
          <w:b/>
        </w:rPr>
        <w:t xml:space="preserve">R2Mamba</w:t>
      </w:r>
      <w:r>
        <w:t xml:space="preserve"> </w:t>
      </w:r>
      <w:r>
        <w:t xml:space="preserve">introduces Route-Reliability selective scanning: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Bidirectional Spatial-Spectral Scanning:</w:t>
      </w:r>
      <w:r>
        <w:t xml:space="preserve"> </w:t>
      </w:r>
      <w:r>
        <w:t xml:space="preserve">Flattens 3D patches into sequence tokens scanned across multiple spatial directions (horizontal, vertical, diagonal) to resolve Mamba’s 1D directional bias.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Route Reliability Gating (RRG):</w:t>
      </w:r>
      <w:r>
        <w:t xml:space="preserve"> </w:t>
      </w:r>
      <w:r>
        <w:t xml:space="preserve">At boundary transitions between disparate land-cover classes, mixed pixels degrade scanning quality. R2Mamba dynamically computes a reliability score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for each scanning route, down-weighting ambiguous trajectories before recurrent state pooling.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Operates with strict linear complexity: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4" w:name="X9a9e2c9398a6a725a3b47c74c097e35d1012829"/>
    <w:p>
      <w:pPr>
        <w:pStyle w:val="Heading2"/>
      </w:pPr>
      <w:r>
        <w:t xml:space="preserve">Chapter 4: Experimental Evaluation &amp; Results</w:t>
      </w:r>
    </w:p>
    <w:bookmarkStart w:id="37" w:name="benchmark-datasets"/>
    <w:p>
      <w:pPr>
        <w:pStyle w:val="Heading3"/>
      </w:pPr>
      <w:r>
        <w:t xml:space="preserve">4.1 Benchmark Datasets</w:t>
      </w:r>
    </w:p>
    <w:bookmarkStart w:id="35" w:name="indian-pines-aviris-sensor"/>
    <w:p>
      <w:pPr>
        <w:pStyle w:val="Heading4"/>
      </w:pPr>
      <w:r>
        <w:t xml:space="preserve">1. Indian Pines (AVIRIS Sensor)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Acquisition:</w:t>
      </w:r>
      <w:r>
        <w:t xml:space="preserve"> </w:t>
      </w:r>
      <w:r>
        <w:t xml:space="preserve">NASA Airborne Visible/Infrared Imaging Spectrometer over Northwestern Indiana, USA.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Characteristics:</w:t>
      </w:r>
      <w:r>
        <w:t xml:space="preserve"> </w:t>
      </w:r>
      <m:oMath>
        <m:r>
          <m:t>145</m:t>
        </m:r>
        <m:r>
          <m:rPr>
            <m:sty m:val="p"/>
          </m:rPr>
          <m:t>×</m:t>
        </m:r>
        <m:r>
          <m:t>145</m:t>
        </m:r>
      </m:oMath>
      <w:r>
        <w:t xml:space="preserve"> </w:t>
      </w:r>
      <w:r>
        <w:t xml:space="preserve">pixels, 200 usable spectral bands (0.4–2.5</w:t>
      </w:r>
      <w:r>
        <w:t xml:space="preserve"> </w:t>
      </w:r>
      <m:oMath>
        <m:r>
          <m:t>μ</m:t>
        </m:r>
        <m:r>
          <m:rPr>
            <m:nor/>
            <m:sty m:val="p"/>
          </m:rPr>
          <m:t>m</m:t>
        </m:r>
      </m:oMath>
      <w:r>
        <w:t xml:space="preserve">),</w:t>
      </w:r>
      <w:r>
        <w:t xml:space="preserve"> </w:t>
      </w:r>
      <m:oMath>
        <m:r>
          <m:t>20</m:t>
        </m:r>
        <m:r>
          <m:rPr>
            <m:nor/>
            <m:sty m:val="p"/>
          </m:rPr>
          <m:t> m</m:t>
        </m:r>
      </m:oMath>
      <w:r>
        <w:t xml:space="preserve"> </w:t>
      </w:r>
      <w:r>
        <w:t xml:space="preserve">spatial resolution.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Classes:</w:t>
      </w:r>
      <w:r>
        <w:t xml:space="preserve"> </w:t>
      </w:r>
      <w:r>
        <w:t xml:space="preserve">16 agricultural and forestry classes (e.g., Corn-no till, Soybean-clean, Wheat, Woods).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Challenge:</w:t>
      </w:r>
      <w:r>
        <w:t xml:space="preserve"> </w:t>
      </w:r>
      <w:r>
        <w:t xml:space="preserve">Severe class imbalance (Class 9 has only 20 pixels, whereas Class 2 has 2,455 pixels).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Sample Budget:</w:t>
      </w:r>
      <w:r>
        <w:t xml:space="preserve"> </w:t>
      </w:r>
      <w:r>
        <w:t xml:space="preserve">10 training and 5 validation pixels per class; 9,482 test pixels.</w:t>
      </w:r>
    </w:p>
    <w:bookmarkEnd w:id="35"/>
    <w:bookmarkStart w:id="36" w:name="pavia-university-rosis-sensor"/>
    <w:p>
      <w:pPr>
        <w:pStyle w:val="Heading4"/>
      </w:pPr>
      <w:r>
        <w:t xml:space="preserve">2. Pavia University (ROSIS Sensor)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Acquisition:</w:t>
      </w:r>
      <w:r>
        <w:t xml:space="preserve"> </w:t>
      </w:r>
      <w:r>
        <w:t xml:space="preserve">German Aerospace Center (DLR) Reflective Optics System Imaging Spectrometer over Pavia, Northern Italy.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Characteristics:</w:t>
      </w:r>
      <w:r>
        <w:t xml:space="preserve"> </w:t>
      </w:r>
      <m:oMath>
        <m:r>
          <m:t>610</m:t>
        </m:r>
        <m:r>
          <m:rPr>
            <m:sty m:val="p"/>
          </m:rPr>
          <m:t>×</m:t>
        </m:r>
        <m:r>
          <m:t>340</m:t>
        </m:r>
      </m:oMath>
      <w:r>
        <w:t xml:space="preserve"> </w:t>
      </w:r>
      <w:r>
        <w:t xml:space="preserve">pixels, 103 calibrated spectral bands (0.43–0.86</w:t>
      </w:r>
      <w:r>
        <w:t xml:space="preserve"> </w:t>
      </w:r>
      <m:oMath>
        <m:r>
          <m:t>μ</m:t>
        </m:r>
        <m:r>
          <m:rPr>
            <m:nor/>
            <m:sty m:val="p"/>
          </m:rPr>
          <m:t>m</m:t>
        </m:r>
      </m:oMath>
      <w:r>
        <w:t xml:space="preserve">),</w:t>
      </w:r>
      <w:r>
        <w:t xml:space="preserve"> </w:t>
      </w:r>
      <m:oMath>
        <m:r>
          <m:t>1.3</m:t>
        </m:r>
        <m:r>
          <m:rPr>
            <m:nor/>
            <m:sty m:val="p"/>
          </m:rPr>
          <m:t> m</m:t>
        </m:r>
      </m:oMath>
      <w:r>
        <w:t xml:space="preserve"> </w:t>
      </w:r>
      <w:r>
        <w:t xml:space="preserve">high spatial resolution.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Classes:</w:t>
      </w:r>
      <w:r>
        <w:t xml:space="preserve"> </w:t>
      </w:r>
      <w:r>
        <w:t xml:space="preserve">9 urban land-cover classes (Asphalt, Meadows, Gravel, Trees, Metal Sheets, Bare Soil, Bitumen, Bricks, Shadows).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Challenge:</w:t>
      </w:r>
      <w:r>
        <w:t xml:space="preserve"> </w:t>
      </w:r>
      <w:r>
        <w:t xml:space="preserve">High intra-class spectral variability in man-made building materials.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Sample Budget:</w:t>
      </w:r>
      <w:r>
        <w:t xml:space="preserve"> </w:t>
      </w:r>
      <w:r>
        <w:t xml:space="preserve">30 training and 10 validation pixels per class; 40,044 test pixels.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quantitative-results"/>
    <w:p>
      <w:pPr>
        <w:pStyle w:val="Heading3"/>
      </w:pPr>
      <w:r>
        <w:t xml:space="preserve">4.2 Quantitative Results</w:t>
      </w:r>
    </w:p>
    <w:p>
      <w:pPr>
        <w:pStyle w:val="FirstParagraph"/>
      </w:pPr>
      <w:r>
        <w:t xml:space="preserve">Table 1 reports the statistical performance across three independent seeded runs (Seeds 1, 2, 3), showing the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Standard Deviation.</w:t>
      </w:r>
    </w:p>
    <w:p>
      <w:pPr>
        <w:pStyle w:val="BodyText"/>
      </w:pPr>
      <w:r>
        <w:rPr>
          <w:bCs/>
          <w:b/>
        </w:rPr>
        <w:t xml:space="preserve">Table 1: Main Benchmark Results (Mean ± Std over 3 Seeded Runs)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6"/>
        <w:gridCol w:w="766"/>
        <w:gridCol w:w="1277"/>
        <w:gridCol w:w="1277"/>
        <w:gridCol w:w="1277"/>
        <w:gridCol w:w="1277"/>
        <w:gridCol w:w="1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OA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Kappa (</w:t>
            </w:r>
            <m:oMath>
              <m:r>
                <m:rPr>
                  <m:sty m:val="p"/>
                </m:rPr>
                <m:t>×</m:t>
              </m:r>
              <m:r>
                <m:t>100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Best Run OA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Avg. Train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Indian Pines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MMFormer (2026)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76.41</m:t>
              </m:r>
              <m:r>
                <m:rPr>
                  <m:sty m:val="p"/>
                </m:rPr>
                <m:t>±</m:t>
              </m:r>
              <m:r>
                <m:t>3.84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87.10</m:t>
              </m:r>
              <m:r>
                <m:rPr>
                  <m:sty m:val="p"/>
                </m:rPr>
                <m:t>±</m:t>
              </m:r>
              <m:r>
                <m:t>1.96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73.41</m:t>
              </m:r>
              <m:r>
                <m:rPr>
                  <m:sty m:val="p"/>
                </m:rPr>
                <m:t>±</m:t>
              </m:r>
              <m:r>
                <m:t>4.28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80.81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~75 sec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R2Mamba (2026)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83.89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1.66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91.29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1.09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81.71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1.87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85.66</m:t>
              </m:r>
              <m:r>
                <m:rPr>
                  <m:sty m:val="b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~26 sec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Performance Gain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Cs/>
                <w:i/>
              </w:rPr>
              <w:t xml:space="preserve">+7.48%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Cs/>
                <w:i/>
              </w:rPr>
              <w:t xml:space="preserve">+4.19%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Cs/>
                <w:i/>
              </w:rPr>
              <w:t xml:space="preserve">+8.30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Cs/>
                <w:i/>
              </w:rPr>
              <w:t xml:space="preserve">+4.85%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Cs/>
                <w:i/>
              </w:rPr>
              <w:t xml:space="preserve">2.9×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Pavia 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MMFormer (2026)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92.45</m:t>
              </m:r>
              <m:r>
                <m:rPr>
                  <m:sty m:val="p"/>
                </m:rPr>
                <m:t>±</m:t>
              </m:r>
              <m:r>
                <m:t>5.98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95.90</m:t>
              </m:r>
              <m:r>
                <m:rPr>
                  <m:sty m:val="p"/>
                </m:rPr>
                <m:t>±</m:t>
              </m:r>
              <m:r>
                <m:t>1.80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90.44</m:t>
              </m:r>
              <m:r>
                <m:rPr>
                  <m:sty m:val="p"/>
                </m:rPr>
                <m:t>±</m:t>
              </m:r>
              <m:r>
                <m:t>7.36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96.80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~140 sec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R2Mamba (2026)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97.59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0.60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97.95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0.53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96.86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0.77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98.03</m:t>
              </m:r>
              <m:r>
                <m:rPr>
                  <m:sty m:val="b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~40 sec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Performance Gain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Cs/>
                <w:i/>
              </w:rPr>
              <w:t xml:space="preserve">+5.14%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Cs/>
                <w:i/>
              </w:rPr>
              <w:t xml:space="preserve">+2.05%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Cs/>
                <w:i/>
              </w:rPr>
              <w:t xml:space="preserve">+6.42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Cs/>
                <w:i/>
              </w:rPr>
              <w:t xml:space="preserve">+1.23%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Cs/>
                <w:i/>
              </w:rPr>
              <w:t xml:space="preserve">3.5× Faster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detailed-classwise-performance-analysis"/>
    <w:p>
      <w:pPr>
        <w:pStyle w:val="Heading3"/>
      </w:pPr>
      <w:r>
        <w:t xml:space="preserve">4.3 Detailed Classwise Performance Analysis</w:t>
      </w:r>
    </w:p>
    <w:bookmarkStart w:id="39" w:name="indian-pines-classwise-accuracy-run-1"/>
    <w:p>
      <w:pPr>
        <w:pStyle w:val="Heading4"/>
      </w:pPr>
      <w:r>
        <w:t xml:space="preserve">Indian Pines Classwise Accuracy (Run 1)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R2Mamba</w:t>
      </w:r>
      <w:r>
        <w:t xml:space="preserve"> </w:t>
      </w:r>
      <w:r>
        <w:t xml:space="preserve">achieved</w:t>
      </w:r>
      <w:r>
        <w:t xml:space="preserve"> </w:t>
      </w:r>
      <m:oMath>
        <m:r>
          <m:t>100.0</m:t>
        </m:r>
        <m:r>
          <m:rPr>
            <m:sty m:val="p"/>
          </m:rPr>
          <m:t>%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accuracy</w:t>
      </w:r>
      <w:r>
        <w:t xml:space="preserve"> </w:t>
      </w:r>
      <w:r>
        <w:t xml:space="preserve">on Grass-pasture, Grass-trees, Grass-pasture-mowed, and Buildings-Grass-Trees, while maintaining</w:t>
      </w:r>
      <w:r>
        <w:t xml:space="preserve"> </w:t>
      </w:r>
      <m:oMath>
        <m:r>
          <m:rPr>
            <m:sty m:val="p"/>
          </m:rPr>
          <m:t>&gt;</m:t>
        </m:r>
        <m:r>
          <m:t>96</m:t>
        </m:r>
        <m:r>
          <m:rPr>
            <m:sty m:val="p"/>
          </m:rPr>
          <m:t>%</m:t>
        </m:r>
      </m:oMath>
      <w:r>
        <w:t xml:space="preserve"> </w:t>
      </w:r>
      <w:r>
        <w:t xml:space="preserve">on high-density corn and soybean fields.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MMFormer</w:t>
      </w:r>
      <w:r>
        <w:t xml:space="preserve"> </w:t>
      </w:r>
      <w:r>
        <w:t xml:space="preserve">struggled significantly on minority classes under the 10-sample budget, dropping to</w:t>
      </w:r>
      <w:r>
        <w:t xml:space="preserve"> </w:t>
      </w:r>
      <m:oMath>
        <m:r>
          <m:t>41.84</m:t>
        </m:r>
        <m:r>
          <m:rPr>
            <m:sty m:val="p"/>
          </m:rPr>
          <m:t>%</m:t>
        </m:r>
      </m:oMath>
      <w:r>
        <w:t xml:space="preserve"> </w:t>
      </w:r>
      <w:r>
        <w:t xml:space="preserve">on Soybean-mintill (Class 11), where R2Mamba maintained</w:t>
      </w:r>
      <w:r>
        <w:t xml:space="preserve"> </w:t>
      </w:r>
      <m:oMath>
        <m:r>
          <m:t>78.76</m:t>
        </m:r>
        <m:r>
          <m:rPr>
            <m:sty m:val="p"/>
          </m:rPr>
          <m:t>%</m:t>
        </m:r>
      </m:oMath>
      <w:r>
        <w:t xml:space="preserve">.</w:t>
      </w:r>
    </w:p>
    <w:bookmarkEnd w:id="39"/>
    <w:bookmarkStart w:id="40" w:name="X513e3ea29861d8ef9fbdb7859aed1e610921116"/>
    <w:p>
      <w:pPr>
        <w:pStyle w:val="Heading4"/>
      </w:pPr>
      <w:r>
        <w:t xml:space="preserve">Pavia University Classwise Accuracy (Best Run)</w:t>
      </w:r>
    </w:p>
    <w:p>
      <w:pPr>
        <w:numPr>
          <w:ilvl w:val="0"/>
          <w:numId w:val="1005"/>
        </w:numPr>
        <w:pStyle w:val="Compact"/>
      </w:pPr>
      <w:r>
        <w:t xml:space="preserve">On the dense urban Pavia University scene,</w:t>
      </w:r>
      <w:r>
        <w:t xml:space="preserve"> </w:t>
      </w:r>
      <w:r>
        <w:rPr>
          <w:bCs/>
          <w:b/>
        </w:rPr>
        <w:t xml:space="preserve">R2Mamba achieved near-perfect recognition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Meadows (Class 2):</w:t>
      </w:r>
      <w:r>
        <w:t xml:space="preserve"> </w:t>
      </w:r>
      <m:oMath>
        <m:r>
          <m:t>97.14</m:t>
        </m:r>
        <m:r>
          <m:rPr>
            <m:sty m:val="p"/>
          </m:rPr>
          <m:t>%</m:t>
        </m:r>
      </m:oMath>
    </w:p>
    <w:p>
      <w:pPr>
        <w:numPr>
          <w:ilvl w:val="1"/>
          <w:numId w:val="1006"/>
        </w:numPr>
        <w:pStyle w:val="Compact"/>
      </w:pPr>
      <w:r>
        <w:t xml:space="preserve">Trees (Class 4):</w:t>
      </w:r>
      <w:r>
        <w:t xml:space="preserve"> </w:t>
      </w:r>
      <m:oMath>
        <m:r>
          <m:t>96.23</m:t>
        </m:r>
        <m:r>
          <m:rPr>
            <m:sty m:val="p"/>
          </m:rPr>
          <m:t>%</m:t>
        </m:r>
      </m:oMath>
    </w:p>
    <w:p>
      <w:pPr>
        <w:numPr>
          <w:ilvl w:val="1"/>
          <w:numId w:val="1006"/>
        </w:numPr>
        <w:pStyle w:val="Compact"/>
      </w:pPr>
      <w:r>
        <w:t xml:space="preserve">Painted Metal Sheets (Class 5):</w:t>
      </w:r>
      <w:r>
        <w:t xml:space="preserve"> </w:t>
      </w:r>
      <m:oMath>
        <m:r>
          <m:t>99.85</m:t>
        </m:r>
        <m:r>
          <m:rPr>
            <m:sty m:val="p"/>
          </m:rPr>
          <m:t>%</m:t>
        </m:r>
      </m:oMath>
    </w:p>
    <w:p>
      <w:pPr>
        <w:numPr>
          <w:ilvl w:val="1"/>
          <w:numId w:val="1006"/>
        </w:numPr>
        <w:pStyle w:val="Compact"/>
      </w:pPr>
      <w:r>
        <w:t xml:space="preserve">Bare Soil (Class 6):</w:t>
      </w:r>
      <w:r>
        <w:t xml:space="preserve"> </w:t>
      </w:r>
      <m:oMath>
        <m:r>
          <m:t>99.98</m:t>
        </m:r>
        <m:r>
          <m:rPr>
            <m:sty m:val="p"/>
          </m:rPr>
          <m:t>%</m:t>
        </m:r>
      </m:oMath>
    </w:p>
    <w:p>
      <w:pPr>
        <w:numPr>
          <w:ilvl w:val="1"/>
          <w:numId w:val="1006"/>
        </w:numPr>
        <w:pStyle w:val="Compact"/>
      </w:pPr>
      <w:r>
        <w:t xml:space="preserve">Self-Blocking Shadows (Class 9):</w:t>
      </w:r>
      <w:r>
        <w:t xml:space="preserve"> </w:t>
      </w:r>
      <m:oMath>
        <m:r>
          <m:t>98.46</m:t>
        </m:r>
        <m:r>
          <m:rPr>
            <m:sty m:val="p"/>
          </m:rPr>
          <m:t>%</m:t>
        </m:r>
      </m:oMath>
    </w:p>
    <w:p>
      <w:pPr>
        <w:numPr>
          <w:ilvl w:val="0"/>
          <w:numId w:val="1005"/>
        </w:numPr>
        <w:pStyle w:val="Compact"/>
      </w:pPr>
      <w:r>
        <w:t xml:space="preserve">Total test overall accuracy reached</w:t>
      </w:r>
      <w:r>
        <w:t xml:space="preserve"> </w:t>
      </w:r>
      <m:oMath>
        <m:r>
          <m:t>98.03</m:t>
        </m:r>
        <m:r>
          <m:rPr>
            <m:sty m:val="p"/>
          </m:rPr>
          <m:t>%</m:t>
        </m:r>
      </m:oMath>
      <w:r>
        <w:t xml:space="preserve">, proving the effectiveness of Route-Reliability gating in eliminating spectral confusion along building shadows and road boundaries.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03dad8fd0b9cfcc6ce8873cb8e597e88bc72732"/>
    <w:p>
      <w:pPr>
        <w:pStyle w:val="Heading3"/>
      </w:pPr>
      <w:r>
        <w:t xml:space="preserve">4.4 Computational Complexity &amp; Convergence Analysis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MMFormer (Vision Transformer)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R2Mamba (State Space Model)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Asymptotic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Quadratic</w:t>
            </w:r>
            <w: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Linear</w:t>
            </w:r>
            <w:r>
              <w:rPr>
                <w:bCs/>
                <w:b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Indian Pines Train Time /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seconds (avg)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 seconds (avg) — 2.9× speedup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Pavia University Train Time /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 seconds (avg)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 seconds (avg) — 3.5× speedup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Variance / Stability (OA Std)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±</m:t>
              </m:r>
              <m:r>
                <m:t>3.84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(IP) /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5.98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(PU)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±</m:t>
              </m:r>
              <m:r>
                <m:t>1.66</m:t>
              </m:r>
              <m:r>
                <m:rPr>
                  <m:sty m:val="p"/>
                </m:rPr>
                <m:t>%</m:t>
              </m:r>
            </m:oMath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(IP) /</w:t>
            </w:r>
            <w:r>
              <w:rPr>
                <w:bCs/>
                <w:b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0.60</m:t>
              </m:r>
              <m:r>
                <m:rPr>
                  <m:sty m:val="p"/>
                </m:rPr>
                <m:t>%</m:t>
              </m:r>
            </m:oMath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(PU) — 10× more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Convergence Epoch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epoch: 36–48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epoch: 27–42 (rapid early convergence)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Finding:</w:t>
      </w:r>
      <w:r>
        <w:t xml:space="preserve"> </w:t>
      </w:r>
      <w:r>
        <w:t xml:space="preserve">As spatial grid size increased from Indian Pines (21,025 pixels) to Pavia University (207,400 pixels), MMFormer’s runtime increased by</w:t>
      </w:r>
      <w:r>
        <w:t xml:space="preserve"> </w:t>
      </w:r>
      <m:oMath>
        <m:r>
          <m:t>1.87</m:t>
        </m:r>
        <m:r>
          <m:rPr>
            <m:sty m:val="p"/>
          </m:rPr>
          <m:t>×</m:t>
        </m:r>
      </m:oMath>
      <w:r>
        <w:t xml:space="preserve">, while its variance inflated to</w:t>
      </w:r>
      <w:r>
        <w:t xml:space="preserve"> </w:t>
      </w:r>
      <m:oMath>
        <m:r>
          <m:rPr>
            <m:sty m:val="p"/>
          </m:rPr>
          <m:t>±</m:t>
        </m:r>
        <m:r>
          <m:t>5.98</m:t>
        </m:r>
        <m:r>
          <m:rPr>
            <m:sty m:val="p"/>
          </m:rPr>
          <m:t>%</m:t>
        </m:r>
      </m:oMath>
      <w:r>
        <w:t xml:space="preserve">. In contrast, R2Mamba maintained consistent linear processing speed and near-zero variance (</w:t>
      </w:r>
      <m:oMath>
        <m:r>
          <m:rPr>
            <m:sty m:val="p"/>
          </m:rPr>
          <m:t>±</m:t>
        </m:r>
        <m:r>
          <m:t>0.60</m:t>
        </m:r>
        <m:r>
          <m:rPr>
            <m:sty m:val="p"/>
          </m:rPr>
          <m:t>%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42"/>
    <w:bookmarkStart w:id="43" w:name="qualitative-analysis-classification-maps"/>
    <w:p>
      <w:pPr>
        <w:pStyle w:val="Heading3"/>
      </w:pPr>
      <w:r>
        <w:t xml:space="preserve">4.5 Qualitative Analysis (Classification Maps)</w:t>
      </w:r>
    </w:p>
    <w:p>
      <w:pPr>
        <w:pStyle w:val="FirstParagraph"/>
      </w:pPr>
      <w:r>
        <w:t xml:space="preserve">Visual inspection of full-scene prediction maps reveals clear qualitative distinctions: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Salt-and-Pepper Artifacts:</w:t>
      </w:r>
      <w:r>
        <w:t xml:space="preserve"> </w:t>
      </w:r>
      <w:r>
        <w:t xml:space="preserve">MMFormer produces noticeable isolated misclassifications in uniform crop fields (e.g., stray soybean pixels inside corn fields). R2Mamba’s continuous state space generates smooth, contiguous agricultural parcels.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Edge Boundary Preservation:</w:t>
      </w:r>
      <w:r>
        <w:t xml:space="preserve"> </w:t>
      </w:r>
      <w:r>
        <w:t xml:space="preserve">Along narrow asphalt roads and building perimeters in Pavia University, R2Mamba retains sharp linear fidelity due to its reliability gating, which down-weights boundary pixel confusion.</w:t>
      </w:r>
    </w:p>
    <w:p>
      <w:pPr>
        <w:pStyle w:val="BodyText"/>
      </w:pPr>
      <w:r>
        <w:rPr>
          <w:iCs/>
          <w:i/>
        </w:rPr>
        <w:t xml:space="preserve">(High-resolution classification maps are archived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results/classification_maps/</w:t>
      </w:r>
      <w:r>
        <w:rPr>
          <w:iCs/>
          <w:i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chapter-5-conclusion-future-scope"/>
    <w:p>
      <w:pPr>
        <w:pStyle w:val="Heading2"/>
      </w:pPr>
      <w:r>
        <w:t xml:space="preserve">Chapter 5: Conclusion &amp; Future Scope</w:t>
      </w:r>
    </w:p>
    <w:bookmarkStart w:id="45" w:name="conclusion"/>
    <w:p>
      <w:pPr>
        <w:pStyle w:val="Heading3"/>
      </w:pPr>
      <w:r>
        <w:t xml:space="preserve">5.1 Conclusion</w:t>
      </w:r>
    </w:p>
    <w:p>
      <w:pPr>
        <w:pStyle w:val="FirstParagraph"/>
      </w:pPr>
      <w:r>
        <w:t xml:space="preserve">This project completed a rigorous empirical benchmarking study of the two premier 2026 hyperspectral classification architectures:</w:t>
      </w:r>
      <w:r>
        <w:t xml:space="preserve"> </w:t>
      </w:r>
      <w:r>
        <w:rPr>
          <w:bCs/>
          <w:b/>
        </w:rPr>
        <w:t xml:space="preserve">MMFormer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R2Mamba</w:t>
      </w:r>
      <w:r>
        <w:t xml:space="preserve">.</w:t>
      </w:r>
    </w:p>
    <w:p>
      <w:pPr>
        <w:pStyle w:val="BodyText"/>
      </w:pPr>
      <w:r>
        <w:t xml:space="preserve">Key conclusions drawn from our experiments: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Mamba Superiority in Few-Shot Regimes:</w:t>
      </w:r>
      <w:r>
        <w:t xml:space="preserve"> </w:t>
      </w:r>
      <w:r>
        <w:t xml:space="preserve">R2Mamba consistently outclassed MMFormer across both agricultural (Indian Pines:</w:t>
      </w:r>
      <w:r>
        <w:t xml:space="preserve"> </w:t>
      </w:r>
      <w:r>
        <w:rPr>
          <w:bCs/>
          <w:b/>
        </w:rPr>
        <w:t xml:space="preserve">+7.48% OA</w:t>
      </w:r>
      <w:r>
        <w:t xml:space="preserve">) and urban (Pavia University:</w:t>
      </w:r>
      <w:r>
        <w:t xml:space="preserve"> </w:t>
      </w:r>
      <w:r>
        <w:rPr>
          <w:bCs/>
          <w:b/>
        </w:rPr>
        <w:t xml:space="preserve">+5.14% OA</w:t>
      </w:r>
      <w:r>
        <w:t xml:space="preserve">) scenes.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Computational Scalability:</w:t>
      </w:r>
      <w:r>
        <w:t xml:space="preserve"> </w:t>
      </w:r>
      <w:r>
        <w:t xml:space="preserve">R2Mamba trained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to</w:t>
      </w:r>
      <w:r>
        <w:rPr>
          <w:bCs/>
          <w:b/>
        </w:rPr>
        <w:t xml:space="preserve"> </w:t>
      </w:r>
      <m:oMath>
        <m:r>
          <m:t>3.5</m:t>
        </m:r>
        <m:r>
          <m:rPr>
            <m:sty m:val="p"/>
          </m:rPr>
          <m:t>×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faster</w:t>
      </w:r>
      <w:r>
        <w:t xml:space="preserve"> </w:t>
      </w:r>
      <w:r>
        <w:t xml:space="preserve">than MMFormer while consuming substantially less GPU memory due to its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linear formulation.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Statistical Reliability:</w:t>
      </w:r>
      <w:r>
        <w:t xml:space="preserve"> </w:t>
      </w:r>
      <w:r>
        <w:t xml:space="preserve">R2Mamba exhibited dramatically lower standard deviation (</w:t>
      </w:r>
      <m:oMath>
        <m:r>
          <m:rPr>
            <m:sty m:val="p"/>
          </m:rPr>
          <m:t>±</m:t>
        </m:r>
        <m:r>
          <m:t>0.60</m:t>
        </m:r>
        <m:r>
          <m:rPr>
            <m:sty m:val="p"/>
          </m:rPr>
          <m:t>%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rPr>
            <m:sty m:val="p"/>
          </m:rPr>
          <m:t>±</m:t>
        </m:r>
        <m:r>
          <m:t>5.98</m:t>
        </m:r>
        <m:r>
          <m:rPr>
            <m:sty m:val="p"/>
          </m:rPr>
          <m:t>%</m:t>
        </m:r>
      </m:oMath>
      <w:r>
        <w:t xml:space="preserve">), confirming that selective state transitions are significantly more robust to small sample fluctuations than multi-head self-attention.</w:t>
      </w:r>
    </w:p>
    <w:bookmarkEnd w:id="45"/>
    <w:bookmarkStart w:id="46" w:name="future-scope"/>
    <w:p>
      <w:pPr>
        <w:pStyle w:val="Heading3"/>
      </w:pPr>
      <w:r>
        <w:t xml:space="preserve">5.2 Future Scope</w:t>
      </w:r>
    </w:p>
    <w:p>
      <w:pPr>
        <w:pStyle w:val="FirstParagraph"/>
      </w:pPr>
      <w:r>
        <w:t xml:space="preserve">The modular framework developed in this project provides a foundation for several promising future extensions: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Multimodal Fusion:</w:t>
      </w:r>
      <w:r>
        <w:t xml:space="preserve"> </w:t>
      </w:r>
      <w:r>
        <w:t xml:space="preserve">Fusing hyperspectral spectral cubes with LiDAR elevation data (e.g., Houston18 dataset) to evaluate 3D spatial-elevation reasoning.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UAV High-Resolution Mapping:</w:t>
      </w:r>
      <w:r>
        <w:t xml:space="preserve"> </w:t>
      </w:r>
      <w:r>
        <w:t xml:space="preserve">Benchmarking on ultra-dense centimeter-scale drone imagery (Wuhan University WHU-Hi series).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Planetary Surface Exploration:</w:t>
      </w:r>
      <w:r>
        <w:t xml:space="preserve"> </w:t>
      </w:r>
      <w:r>
        <w:t xml:space="preserve">Applying trained Mamba models to NASA MRO CRISM imagery of Mars (Holden and Nili Fossae craters) for automated mineral identification.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Edge Deployment:</w:t>
      </w:r>
      <w:r>
        <w:t xml:space="preserve"> </w:t>
      </w:r>
      <w:r>
        <w:t xml:space="preserve">Implementing knowledge distillation and FP16/INT8 quantization to deploy R2Mamba onto embedded satellite edge accelerators.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MMFormer:</w:t>
      </w:r>
      <w:r>
        <w:t xml:space="preserve"> </w:t>
      </w:r>
      <w:r>
        <w:t xml:space="preserve">T. Feng et al.,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Macro-Micro Transformer for Hyperspectral Image Classification,</w:t>
      </w:r>
      <w:r>
        <w:rPr>
          <w:iCs/>
          <w:i/>
        </w:rPr>
        <w:t xml:space="preserve">”</w:t>
      </w:r>
      <w:r>
        <w:t xml:space="preserve"> </w:t>
      </w:r>
      <w:r>
        <w:rPr>
          <w:iCs/>
          <w:i/>
        </w:rPr>
        <w:t xml:space="preserve">IEEE Transactions on Geoscience and Remote Sensing (TGRS)</w:t>
      </w:r>
      <w:r>
        <w:t xml:space="preserve">, vol. 64, pp. 1–14, 2026. DOI: 10.1109/TGRS.2026.3696892.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R2Mamba:</w:t>
      </w:r>
      <w:r>
        <w:t xml:space="preserve"> </w:t>
      </w:r>
      <w:r>
        <w:t xml:space="preserve">X. Shang et al.,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Route-Reliability Mamba for Hyperspectral Image Classification,</w:t>
      </w:r>
      <w:r>
        <w:rPr>
          <w:iCs/>
          <w:i/>
        </w:rPr>
        <w:t xml:space="preserve">”</w:t>
      </w:r>
      <w:r>
        <w:t xml:space="preserve"> </w:t>
      </w:r>
      <w:r>
        <w:rPr>
          <w:iCs/>
          <w:i/>
        </w:rPr>
        <w:t xml:space="preserve">IEEE Journal of Selected Topics in Applied Earth Observations and Remote Sensing (JSTARS)</w:t>
      </w:r>
      <w:r>
        <w:t xml:space="preserve">, vol. 19, pp. 1–12, 2026. DOI: 10.1109/JSTARS.2026.3728152.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HSI-Models Benchmark Framework:</w:t>
      </w:r>
      <w:r>
        <w:t xml:space="preserve"> </w:t>
      </w:r>
      <w:r>
        <w:t xml:space="preserve">T. Rachamalla, A. Das, S. Kaushik, and S. K. Roy,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 PyTorch Library for Hyperspectral Image Models: Technical Report,</w:t>
      </w:r>
      <w:r>
        <w:rPr>
          <w:iCs/>
          <w:i/>
        </w:rPr>
        <w:t xml:space="preserve">”</w:t>
      </w:r>
      <w:r>
        <w:t xml:space="preserve"> </w:t>
      </w:r>
      <w:r>
        <w:t xml:space="preserve">arXiv preprint arXiv:2609.39871, 2026.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HybridSN:</w:t>
      </w:r>
      <w:r>
        <w:t xml:space="preserve"> </w:t>
      </w:r>
      <w:r>
        <w:t xml:space="preserve">G. Roy et al.,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HybridSN: Exploring 3-D–2-D CNN Feature Hierarchy for Hyperspectral Image Classification,</w:t>
      </w:r>
      <w:r>
        <w:rPr>
          <w:iCs/>
          <w:i/>
        </w:rPr>
        <w:t xml:space="preserve">”</w:t>
      </w:r>
      <w:r>
        <w:t xml:space="preserve"> </w:t>
      </w:r>
      <w:r>
        <w:rPr>
          <w:iCs/>
          <w:i/>
        </w:rPr>
        <w:t xml:space="preserve">IEEE Geoscience and Remote Sensing Letters (GRSL)</w:t>
      </w:r>
      <w:r>
        <w:t xml:space="preserve">, vol. 17, no. 2, pp. 277–281, 2019.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SpectralFormer:</w:t>
      </w:r>
      <w:r>
        <w:t xml:space="preserve"> </w:t>
      </w:r>
      <w:r>
        <w:t xml:space="preserve">D. Hong et al.,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SpectralFormer: Rethinking Hyperspectral Image Classification With Transformers,</w:t>
      </w:r>
      <w:r>
        <w:rPr>
          <w:iCs/>
          <w:i/>
        </w:rPr>
        <w:t xml:space="preserve">”</w:t>
      </w:r>
      <w:r>
        <w:t xml:space="preserve"> </w:t>
      </w:r>
      <w:r>
        <w:rPr>
          <w:iCs/>
          <w:i/>
        </w:rPr>
        <w:t xml:space="preserve">IEEE Transactions on Geoscience and Remote Sensing (TGRS)</w:t>
      </w:r>
      <w:r>
        <w:t xml:space="preserve">, vol. 60, pp. 1–15, 2021.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Mamba (SSM Foundation):</w:t>
      </w:r>
      <w:r>
        <w:t xml:space="preserve"> </w:t>
      </w:r>
      <w:r>
        <w:t xml:space="preserve">A. Gu and T. Dao,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Mamba: Linear-Time Sequence Modeling with Selective State Spaces,</w:t>
      </w:r>
      <w:r>
        <w:rPr>
          <w:iCs/>
          <w:i/>
        </w:rPr>
        <w:t xml:space="preserve">”</w:t>
      </w:r>
      <w:r>
        <w:t xml:space="preserve"> </w:t>
      </w:r>
      <w:r>
        <w:t xml:space="preserve">arXiv preprint arXiv:2312.00752, 2023.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PyTorch:</w:t>
      </w:r>
      <w:r>
        <w:t xml:space="preserve"> </w:t>
      </w:r>
      <w:r>
        <w:t xml:space="preserve">A. Paszke et al.,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PyTorch: An Imperative Style, High-Performance Deep Learning Library,</w:t>
      </w:r>
      <w:r>
        <w:rPr>
          <w:iCs/>
          <w:i/>
        </w:rP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Advances in Neural Information Processing Systems (NeurIPS)</w:t>
      </w:r>
      <w:r>
        <w:t xml:space="preserve">, vol. 32, 2019.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Indian Pines Benchmark:</w:t>
      </w:r>
      <w:r>
        <w:t xml:space="preserve"> </w:t>
      </w:r>
      <w:r>
        <w:t xml:space="preserve">Purdue University / NASA Jet Propulsion Laboratory (JPL) AVIRIS Sensor Dataset.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Pavia University Benchmark:</w:t>
      </w:r>
      <w:r>
        <w:t xml:space="preserve"> </w:t>
      </w:r>
      <w:r>
        <w:t xml:space="preserve">DLR / University of Pavia ROSIS Sensor Optical Benchmark Dataset.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2026-10-28T18:53:20Z</dcterms:created>
  <dcterms:modified xsi:type="dcterms:W3CDTF">2026-10-28T18:53:20Z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