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SNIGF/NILGS — MVP Technical Baseline v0.1</w:t>
      </w:r>
    </w:p>
    <w:p>
      <w:pPr/>
      <w:r>
        <w:t xml:space="preserve">Oct 20, 2026</w:t>
      </w:r>
      <w:r>
        <w:t xml:space="preserve"> · </w:t>
      </w:r>
      <w:r>
        <w:t xml:space="preserve">@Pythagore</w:t>
      </w:r>
    </w:p>
    <w:p>
      <w:pPr>
        <w:pStyle w:val="Heading2"/>
      </w:pPr>
      <w:r>
        <w:t xml:space="preserve">Status</w:t>
      </w:r>
    </w:p>
    <w:p>
      <w:pPr/>
      <w:r>
        <w:t xml:space="preserve">This is a design baseline for review; no application code exists yet. Implementation (Task F) starts with the first vertical slice in Task E once the team answers the decisions in the last section.</w:t>
      </w:r>
    </w:p>
    <w:p>
      <w:pPr>
        <w:pStyle w:val="ListParagraph"/>
        <w:numPr>
          <w:ilvl w:val="0"/>
          <w:numId w:val="2"/>
        </w:numPr>
      </w:pPr>
      <w:r>
        <w:t xml:space="preserve">Everything here uses synthetic data and simulated decision authority. Nothing implies MINDCAF or government approval.</w:t>
      </w:r>
    </w:p>
    <w:p>
      <w:pPr>
        <w:pStyle w:val="ListParagraph"/>
        <w:numPr>
          <w:ilvl w:val="0"/>
          <w:numId w:val="2"/>
        </w:numPr>
      </w:pPr>
      <w:r>
        <w:t xml:space="preserve">Values marked </w:t>
      </w:r>
      <w:r>
        <w:rPr>
          <w:b/>
        </w:rPr>
        <w:t xml:space="preserve">DEMO</w:t>
      </w:r>
      <w:r>
        <w:t xml:space="preserve"> (fees, deadlines, reference formats, document lists) are placeholders until validated by the team.</w:t>
      </w:r>
    </w:p>
    <w:p>
      <w:pPr>
        <w:pStyle w:val="ListParagraph"/>
        <w:numPr>
          <w:ilvl w:val="0"/>
          <w:numId w:val="2"/>
        </w:numPr>
      </w:pPr>
      <w:r>
        <w:t xml:space="preserve">Comment directly on any line you disagree with; I will revise and record the change as an architecture decision.</w:t>
      </w:r>
    </w:p>
    <w:p>
      <w:pPr>
        <w:pStyle w:val="Heading2"/>
      </w:pPr>
      <w:r>
        <w:t xml:space="preserve">A. Understanding of the project</w:t>
      </w:r>
    </w:p>
    <w:p>
      <w:pPr/>
      <w:r>
        <w:t xml:space="preserve">SNIGF/NILGS is a proposed land-governance platform for Cameroon; the MVP must prove one traceable journey from parcel record to authorized (simulated) decision, with conflicts surfaced and every step auditable. It is a case-management system wrapped around a cadastral index, not an ownership oracle: software records evidence and decisions, people with authority make them.</w:t>
      </w:r>
    </w:p>
    <w:p>
      <w:pPr>
        <w:pStyle w:val="Heading3"/>
      </w:pPr>
      <w:r>
        <w:t xml:space="preserve">MVP boundary</w:t>
      </w:r>
    </w:p>
    <w:p>
      <w:pPr/>
      <w:r>
        <w:t xml:space="preserve">In scope: parcel records with versioned geometry, one demo application type, document upload, completeness checking, overlap and duplicate alerts, review and simulated decision, applicant tracking, tamper-evident audit, and a simulated paid service.</w:t>
      </w:r>
    </w:p>
    <w:p>
      <w:pPr/>
      <w:r>
        <w:t xml:space="preserve">Out of scope for the MVP: a legal rights register, certificate issuance, transfers, subdivision and merger, public notices and objections, field inspections, external integrations, legacy migration, real identity verification and real payments. The data model leaves room for each (Task D).</w:t>
      </w:r>
    </w:p>
    <w:p>
      <w:pPr>
        <w:pStyle w:val="Heading3"/>
      </w:pPr>
      <w:r>
        <w:t xml:space="preserve">Actors</w:t>
      </w:r>
    </w:p>
    <w:tbl>
      <w:tblPr>
        <w:tblStyle w:val="TableGrid"/>
        <w:tblW w:w="0" w:type="auto"/>
        <w:tblLayout w:type="fixed"/>
        <w:tblLook w:val="04A0" w:firstRow="1" w:lastRow="0" w:firstColumn="0" w:lastColumn="0" w:noHBand="0" w:noVBand="1"/>
      </w:tblPr>
      <w:tblGrid>
        <w:gridCol w:w="1780"/>
        <w:gridCol w:w="4474"/>
        <w:gridCol w:w="3106"/>
      </w:tblGrid>
      <w:tr>
        <w:trPr>
          <w:tblHeader/>
        </w:trPr>
        <w:tc>
          <w:tcPr>
            <w:tcW w:w="1780" w:type="dxa"/>
            <w:shd w:val="clear" w:color="auto" w:fill="F2F2F2"/>
          </w:tcPr>
          <w:p>
            <w:pPr/>
            <w:r>
              <w:t xml:space="preserve">Actor</w:t>
            </w:r>
          </w:p>
        </w:tc>
        <w:tc>
          <w:tcPr>
            <w:tcW w:w="4474" w:type="dxa"/>
            <w:shd w:val="clear" w:color="auto" w:fill="F2F2F2"/>
          </w:tcPr>
          <w:p>
            <w:pPr/>
            <w:r>
              <w:t xml:space="preserve">Role in the MVP</w:t>
            </w:r>
          </w:p>
        </w:tc>
        <w:tc>
          <w:tcPr>
            <w:tcW w:w="3106" w:type="dxa"/>
            <w:shd w:val="clear" w:color="auto" w:fill="F2F2F2"/>
          </w:tcPr>
          <w:p>
            <w:pPr/>
            <w:r>
              <w:t xml:space="preserve">Notes</w:t>
            </w:r>
          </w:p>
        </w:tc>
      </w:tr>
      <w:tr>
        <w:tc>
          <w:tcPr>
            <w:tcW w:w="1780" w:type="dxa"/>
          </w:tcPr>
          <w:p>
            <w:pPr/>
            <w:r>
              <w:t xml:space="preserve">Applicant</w:t>
            </w:r>
          </w:p>
        </w:tc>
        <w:tc>
          <w:tcPr>
            <w:tcW w:w="4474" w:type="dxa"/>
          </w:tcPr>
          <w:p>
            <w:pPr/>
            <w:r>
              <w:t xml:space="preserve">Creates, submits and tracks own applications; uploads documents; pays the demo fee</w:t>
            </w:r>
          </w:p>
        </w:tc>
        <w:tc>
          <w:tcPr>
            <w:tcW w:w="3106" w:type="dxa"/>
          </w:tcPr>
          <w:p>
            <w:pPr/>
            <w:r>
              <w:t xml:space="preserve">Sees only own records</w:t>
            </w:r>
          </w:p>
        </w:tc>
      </w:tr>
      <w:tr>
        <w:tc>
          <w:tcPr>
            <w:tcW w:w="1780" w:type="dxa"/>
          </w:tcPr>
          <w:p>
            <w:pPr/>
            <w:r>
              <w:t xml:space="preserve">Representative</w:t>
            </w:r>
          </w:p>
        </w:tc>
        <w:tc>
          <w:tcPr>
            <w:tcW w:w="4474" w:type="dxa"/>
          </w:tcPr>
          <w:p>
            <w:pPr/>
            <w:r>
              <w:t xml:space="preserve">Acts for an applicant</w:t>
            </w:r>
          </w:p>
        </w:tc>
        <w:tc>
          <w:tcPr>
            <w:tcW w:w="3106" w:type="dxa"/>
          </w:tcPr>
          <w:p>
            <w:pPr/>
            <w:r>
              <w:t xml:space="preserve">Modelled as a field on the application; mandate verification is future</w:t>
            </w:r>
          </w:p>
        </w:tc>
      </w:tr>
      <w:tr>
        <w:tc>
          <w:tcPr>
            <w:tcW w:w="1780" w:type="dxa"/>
          </w:tcPr>
          <w:p>
            <w:pPr/>
            <w:r>
              <w:t xml:space="preserve">Intake officer</w:t>
            </w:r>
          </w:p>
        </w:tc>
        <w:tc>
          <w:tcPr>
            <w:tcW w:w="4474" w:type="dxa"/>
          </w:tcPr>
          <w:p>
            <w:pPr/>
            <w:r>
              <w:t xml:space="preserve">Checks completeness, requests missing information</w:t>
            </w:r>
          </w:p>
        </w:tc>
        <w:tc>
          <w:tcPr>
            <w:tcW w:w="3106" w:type="dxa"/>
          </w:tcPr>
          <w:p>
            <w:pPr/>
            <w:r>
              <w:t xml:space="preserve">Office-scoped</w:t>
            </w:r>
          </w:p>
        </w:tc>
      </w:tr>
      <w:tr>
        <w:tc>
          <w:tcPr>
            <w:tcW w:w="1780" w:type="dxa"/>
          </w:tcPr>
          <w:p>
            <w:pPr/>
            <w:r>
              <w:t xml:space="preserve">Cadastral officer</w:t>
            </w:r>
          </w:p>
        </w:tc>
        <w:tc>
          <w:tcPr>
            <w:tcW w:w="4474" w:type="dxa"/>
          </w:tcPr>
          <w:p>
            <w:pPr/>
            <w:r>
              <w:t xml:space="preserve">Creates and corrects parcel records; reviews spatial alerts</w:t>
            </w:r>
          </w:p>
        </w:tc>
        <w:tc>
          <w:tcPr>
            <w:tcW w:w="3106" w:type="dxa"/>
          </w:tcPr>
          <w:p>
            <w:pPr/>
            <w:r>
              <w:t xml:space="preserve">Cannot resolve alerts on parcel versions they created</w:t>
            </w:r>
          </w:p>
        </w:tc>
      </w:tr>
      <w:tr>
        <w:tc>
          <w:tcPr>
            <w:tcW w:w="1780" w:type="dxa"/>
          </w:tcPr>
          <w:p>
            <w:pPr/>
            <w:r>
              <w:t xml:space="preserve">Reviewer</w:t>
            </w:r>
          </w:p>
        </w:tc>
        <w:tc>
          <w:tcPr>
            <w:tcW w:w="4474" w:type="dxa"/>
          </w:tcPr>
          <w:p>
            <w:pPr/>
            <w:r>
              <w:t xml:space="preserve">Examines case file, records a recommendation</w:t>
            </w:r>
          </w:p>
        </w:tc>
        <w:tc>
          <w:tcPr>
            <w:tcW w:w="3106" w:type="dxa"/>
          </w:tcPr>
          <w:p>
            <w:pPr/>
            <w:r>
              <w:t xml:space="preserve">A recommendation is not a decision</w:t>
            </w:r>
          </w:p>
        </w:tc>
      </w:tr>
      <w:tr>
        <w:tc>
          <w:tcPr>
            <w:tcW w:w="1780" w:type="dxa"/>
          </w:tcPr>
          <w:p>
            <w:pPr/>
            <w:r>
              <w:t xml:space="preserve">Decision authority (simulated)</w:t>
            </w:r>
          </w:p>
        </w:tc>
        <w:tc>
          <w:tcPr>
            <w:tcW w:w="4474" w:type="dxa"/>
          </w:tcPr>
          <w:p>
            <w:pPr/>
            <w:r>
              <w:t xml:space="preserve">Records the outcome</w:t>
            </w:r>
          </w:p>
        </w:tc>
        <w:tc>
          <w:tcPr>
            <w:tcW w:w="3106" w:type="dxa"/>
          </w:tcPr>
          <w:p>
            <w:pPr/>
            <w:r>
              <w:t xml:space="preserve">Every decision is flagged simulated in the MVP</w:t>
            </w:r>
          </w:p>
        </w:tc>
      </w:tr>
      <w:tr>
        <w:tc>
          <w:tcPr>
            <w:tcW w:w="1780" w:type="dxa"/>
          </w:tcPr>
          <w:p>
            <w:pPr/>
            <w:r>
              <w:t xml:space="preserve">Supervisor</w:t>
            </w:r>
          </w:p>
        </w:tc>
        <w:tc>
          <w:tcPr>
            <w:tcW w:w="4474" w:type="dxa"/>
          </w:tcPr>
          <w:p>
            <w:pPr/>
            <w:r>
              <w:t xml:space="preserve">Sees workload, stage durations, overdue cases</w:t>
            </w:r>
          </w:p>
        </w:tc>
        <w:tc>
          <w:tcPr>
            <w:tcW w:w="3106" w:type="dxa"/>
          </w:tcPr>
          <w:p>
            <w:pPr/>
            <w:r>
              <w:t xml:space="preserve">Read-mostly</w:t>
            </w:r>
          </w:p>
        </w:tc>
      </w:tr>
      <w:tr>
        <w:tc>
          <w:tcPr>
            <w:tcW w:w="1780" w:type="dxa"/>
          </w:tcPr>
          <w:p>
            <w:pPr/>
            <w:r>
              <w:t xml:space="preserve">Auditor</w:t>
            </w:r>
          </w:p>
        </w:tc>
        <w:tc>
          <w:tcPr>
            <w:tcW w:w="4474" w:type="dxa"/>
          </w:tcPr>
          <w:p>
            <w:pPr/>
            <w:r>
              <w:t xml:space="preserve">Reads and verifies the audit trail</w:t>
            </w:r>
          </w:p>
        </w:tc>
        <w:tc>
          <w:tcPr>
            <w:tcW w:w="3106" w:type="dxa"/>
          </w:tcPr>
          <w:p>
            <w:pPr/>
            <w:r>
              <w:t xml:space="preserve">Cannot change business data</w:t>
            </w:r>
          </w:p>
        </w:tc>
      </w:tr>
      <w:tr>
        <w:tc>
          <w:tcPr>
            <w:tcW w:w="1780" w:type="dxa"/>
          </w:tcPr>
          <w:p>
            <w:pPr/>
            <w:r>
              <w:t xml:space="preserve">Finance officer</w:t>
            </w:r>
          </w:p>
        </w:tc>
        <w:tc>
          <w:tcPr>
            <w:tcW w:w="4474" w:type="dxa"/>
          </w:tcPr>
          <w:p>
            <w:pPr/>
            <w:r>
              <w:t xml:space="preserve">Reviews payment reconciliation exceptions</w:t>
            </w:r>
          </w:p>
        </w:tc>
        <w:tc>
          <w:tcPr>
            <w:tcW w:w="3106" w:type="dxa"/>
          </w:tcPr>
          <w:p>
            <w:pPr/>
          </w:p>
        </w:tc>
      </w:tr>
      <w:tr>
        <w:tc>
          <w:tcPr>
            <w:tcW w:w="1780" w:type="dxa"/>
          </w:tcPr>
          <w:p>
            <w:pPr/>
            <w:r>
              <w:t xml:space="preserve">System administrator</w:t>
            </w:r>
          </w:p>
        </w:tc>
        <w:tc>
          <w:tcPr>
            <w:tcW w:w="4474" w:type="dxa"/>
          </w:tcPr>
          <w:p>
            <w:pPr/>
            <w:r>
              <w:t xml:space="preserve">Manages users and role assignments</w:t>
            </w:r>
          </w:p>
        </w:tc>
        <w:tc>
          <w:tcPr>
            <w:tcW w:w="3106" w:type="dxa"/>
          </w:tcPr>
          <w:p>
            <w:pPr/>
            <w:r>
              <w:t xml:space="preserve">Cannot grant roles to self or edit audit records</w:t>
            </w:r>
          </w:p>
        </w:tc>
      </w:tr>
      <w:tr>
        <w:tc>
          <w:tcPr>
            <w:tcW w:w="1780" w:type="dxa"/>
          </w:tcPr>
          <w:p>
            <w:pPr/>
            <w:r>
              <w:t xml:space="preserve">System</w:t>
            </w:r>
          </w:p>
        </w:tc>
        <w:tc>
          <w:tcPr>
            <w:tcW w:w="4474" w:type="dxa"/>
          </w:tcPr>
          <w:p>
            <w:pPr/>
            <w:r>
              <w:t xml:space="preserve">Runs completeness, geometry and overlap checks; receives simulated payment callbacks</w:t>
            </w:r>
          </w:p>
        </w:tc>
        <w:tc>
          <w:tcPr>
            <w:tcW w:w="3106" w:type="dxa"/>
          </w:tcPr>
          <w:p>
            <w:pPr/>
            <w:r>
              <w:t xml:space="preserve">Recorded as a service identity in audit</w:t>
            </w:r>
          </w:p>
        </w:tc>
      </w:tr>
    </w:tbl>
    <w:p>
      <w:pPr>
        <w:pStyle w:val="Heading3"/>
      </w:pPr>
      <w:r>
        <w:t xml:space="preserve">Concepts that must stay separate</w:t>
      </w:r>
    </w:p>
    <w:tbl>
      <w:tblPr>
        <w:tblStyle w:val="TableGrid"/>
        <w:tblW w:w="0" w:type="auto"/>
        <w:tblLayout w:type="fixed"/>
        <w:tblLook w:val="04A0" w:firstRow="1" w:lastRow="0" w:firstColumn="0" w:lastColumn="0" w:noHBand="0" w:noVBand="1"/>
      </w:tblPr>
      <w:tblGrid>
        <w:gridCol w:w="1707"/>
        <w:gridCol w:w="4588"/>
        <w:gridCol w:w="3065"/>
      </w:tblGrid>
      <w:tr>
        <w:trPr>
          <w:tblHeader/>
        </w:trPr>
        <w:tc>
          <w:tcPr>
            <w:tcW w:w="1707" w:type="dxa"/>
            <w:shd w:val="clear" w:color="auto" w:fill="F2F2F2"/>
          </w:tcPr>
          <w:p>
            <w:pPr/>
            <w:r>
              <w:t xml:space="preserve">Concept</w:t>
            </w:r>
          </w:p>
        </w:tc>
        <w:tc>
          <w:tcPr>
            <w:tcW w:w="4588" w:type="dxa"/>
            <w:shd w:val="clear" w:color="auto" w:fill="F2F2F2"/>
          </w:tcPr>
          <w:p>
            <w:pPr/>
            <w:r>
              <w:t xml:space="preserve">What it is</w:t>
            </w:r>
          </w:p>
        </w:tc>
        <w:tc>
          <w:tcPr>
            <w:tcW w:w="3065" w:type="dxa"/>
            <w:shd w:val="clear" w:color="auto" w:fill="F2F2F2"/>
          </w:tcPr>
          <w:p>
            <w:pPr/>
            <w:r>
              <w:t xml:space="preserve">What it is not</w:t>
            </w:r>
          </w:p>
        </w:tc>
      </w:tr>
      <w:tr>
        <w:tc>
          <w:tcPr>
            <w:tcW w:w="1707" w:type="dxa"/>
          </w:tcPr>
          <w:p>
            <w:pPr/>
            <w:r>
              <w:t xml:space="preserve">Parcel</w:t>
            </w:r>
          </w:p>
        </w:tc>
        <w:tc>
          <w:tcPr>
            <w:tcW w:w="4588" w:type="dxa"/>
          </w:tcPr>
          <w:p>
            <w:pPr/>
            <w:r>
              <w:t xml:space="preserve">A cadastral unit: stable reference plus versioned geometry and locality</w:t>
            </w:r>
          </w:p>
        </w:tc>
        <w:tc>
          <w:tcPr>
            <w:tcW w:w="3065" w:type="dxa"/>
          </w:tcPr>
          <w:p>
            <w:pPr/>
            <w:r>
              <w:t xml:space="preserve">Proof of ownership; it has no owner column</w:t>
            </w:r>
          </w:p>
        </w:tc>
      </w:tr>
      <w:tr>
        <w:tc>
          <w:tcPr>
            <w:tcW w:w="1707" w:type="dxa"/>
          </w:tcPr>
          <w:p>
            <w:pPr/>
            <w:r>
              <w:t xml:space="preserve">Application</w:t>
            </w:r>
          </w:p>
        </w:tc>
        <w:tc>
          <w:tcPr>
            <w:tcW w:w="4588" w:type="dxa"/>
          </w:tcPr>
          <w:p>
            <w:pPr/>
            <w:r>
              <w:t xml:space="preserve">A request for a service, with a lifecycle</w:t>
            </w:r>
          </w:p>
        </w:tc>
        <w:tc>
          <w:tcPr>
            <w:tcW w:w="3065" w:type="dxa"/>
          </w:tcPr>
          <w:p>
            <w:pPr/>
            <w:r>
              <w:t xml:space="preserve">A registered record or a right</w:t>
            </w:r>
          </w:p>
        </w:tc>
      </w:tr>
      <w:tr>
        <w:tc>
          <w:tcPr>
            <w:tcW w:w="1707" w:type="dxa"/>
          </w:tcPr>
          <w:p>
            <w:pPr/>
            <w:r>
              <w:t xml:space="preserve">Document</w:t>
            </w:r>
          </w:p>
        </w:tc>
        <w:tc>
          <w:tcPr>
            <w:tcW w:w="4588" w:type="dxa"/>
          </w:tcPr>
          <w:p>
            <w:pPr/>
            <w:r>
              <w:t xml:space="preserve">An uploaded file with category and checksum</w:t>
            </w:r>
          </w:p>
        </w:tc>
        <w:tc>
          <w:tcPr>
            <w:tcW w:w="3065" w:type="dxa"/>
          </w:tcPr>
          <w:p>
            <w:pPr/>
            <w:r>
              <w:t xml:space="preserve">Verified evidence; authenticity is a separate future check</w:t>
            </w:r>
          </w:p>
        </w:tc>
      </w:tr>
      <w:tr>
        <w:tc>
          <w:tcPr>
            <w:tcW w:w="1707" w:type="dxa"/>
          </w:tcPr>
          <w:p>
            <w:pPr/>
            <w:r>
              <w:t xml:space="preserve">Completeness result</w:t>
            </w:r>
          </w:p>
        </w:tc>
        <w:tc>
          <w:tcPr>
            <w:tcW w:w="4588" w:type="dxa"/>
          </w:tcPr>
          <w:p>
            <w:pPr/>
            <w:r>
              <w:t xml:space="preserve">Required fields and document categories present</w:t>
            </w:r>
          </w:p>
        </w:tc>
        <w:tc>
          <w:tcPr>
            <w:tcW w:w="3065" w:type="dxa"/>
          </w:tcPr>
          <w:p>
            <w:pPr/>
            <w:r>
              <w:t xml:space="preserve">An authenticity or eligibility finding</w:t>
            </w:r>
          </w:p>
        </w:tc>
      </w:tr>
      <w:tr>
        <w:tc>
          <w:tcPr>
            <w:tcW w:w="1707" w:type="dxa"/>
          </w:tcPr>
          <w:p>
            <w:pPr/>
            <w:r>
              <w:t xml:space="preserve">Conflict alert</w:t>
            </w:r>
          </w:p>
        </w:tc>
        <w:tc>
          <w:tcPr>
            <w:tcW w:w="4588" w:type="dxa"/>
          </w:tcPr>
          <w:p>
            <w:pPr/>
            <w:r>
              <w:t xml:space="preserve">A system signal: geometries overlap or references repeat</w:t>
            </w:r>
          </w:p>
        </w:tc>
        <w:tc>
          <w:tcPr>
            <w:tcW w:w="3065" w:type="dxa"/>
          </w:tcPr>
          <w:p>
            <w:pPr/>
            <w:r>
              <w:t xml:space="preserve">A finding of fraud or of competing rights</w:t>
            </w:r>
          </w:p>
        </w:tc>
      </w:tr>
      <w:tr>
        <w:tc>
          <w:tcPr>
            <w:tcW w:w="1707" w:type="dxa"/>
          </w:tcPr>
          <w:p>
            <w:pPr/>
            <w:r>
              <w:t xml:space="preserve">Claim</w:t>
            </w:r>
          </w:p>
        </w:tc>
        <w:tc>
          <w:tcPr>
            <w:tcW w:w="4588" w:type="dxa"/>
          </w:tcPr>
          <w:p>
            <w:pPr/>
            <w:r>
              <w:t xml:space="preserve">An asserted interest by a party in a parcel (future entity)</w:t>
            </w:r>
          </w:p>
        </w:tc>
        <w:tc>
          <w:tcPr>
            <w:tcW w:w="3065" w:type="dxa"/>
          </w:tcPr>
          <w:p>
            <w:pPr/>
            <w:r>
              <w:t xml:space="preserve">An established right</w:t>
            </w:r>
          </w:p>
        </w:tc>
      </w:tr>
      <w:tr>
        <w:tc>
          <w:tcPr>
            <w:tcW w:w="1707" w:type="dxa"/>
          </w:tcPr>
          <w:p>
            <w:pPr/>
            <w:r>
              <w:t xml:space="preserve">Review</w:t>
            </w:r>
          </w:p>
        </w:tc>
        <w:tc>
          <w:tcPr>
            <w:tcW w:w="4588" w:type="dxa"/>
          </w:tcPr>
          <w:p>
            <w:pPr/>
            <w:r>
              <w:t xml:space="preserve">An officer's finding and recommendation</w:t>
            </w:r>
          </w:p>
        </w:tc>
        <w:tc>
          <w:tcPr>
            <w:tcW w:w="3065" w:type="dxa"/>
          </w:tcPr>
          <w:p>
            <w:pPr/>
            <w:r>
              <w:t xml:space="preserve">A decision</w:t>
            </w:r>
          </w:p>
        </w:tc>
      </w:tr>
      <w:tr>
        <w:tc>
          <w:tcPr>
            <w:tcW w:w="1707" w:type="dxa"/>
          </w:tcPr>
          <w:p>
            <w:pPr/>
            <w:r>
              <w:t xml:space="preserve">Decision</w:t>
            </w:r>
          </w:p>
        </w:tc>
        <w:tc>
          <w:tcPr>
            <w:tcW w:w="4588" w:type="dxa"/>
          </w:tcPr>
          <w:p>
            <w:pPr/>
            <w:r>
              <w:t xml:space="preserve">An authorized outcome with grounds, actor and time; immutable</w:t>
            </w:r>
          </w:p>
        </w:tc>
        <w:tc>
          <w:tcPr>
            <w:tcW w:w="3065" w:type="dxa"/>
          </w:tcPr>
          <w:p>
            <w:pPr/>
            <w:r>
              <w:t xml:space="preserve">A registered right or a title</w:t>
            </w:r>
          </w:p>
        </w:tc>
      </w:tr>
      <w:tr>
        <w:tc>
          <w:tcPr>
            <w:tcW w:w="1707" w:type="dxa"/>
          </w:tcPr>
          <w:p>
            <w:pPr/>
            <w:r>
              <w:t xml:space="preserve">Registered right</w:t>
            </w:r>
          </w:p>
        </w:tc>
        <w:tc>
          <w:tcPr>
            <w:tcW w:w="4588" w:type="dxa"/>
          </w:tcPr>
          <w:p>
            <w:pPr/>
            <w:r>
              <w:t xml:space="preserve">A right entered in the legal register after decision (future)</w:t>
            </w:r>
          </w:p>
        </w:tc>
        <w:tc>
          <w:tcPr>
            <w:tcW w:w="3065" w:type="dxa"/>
          </w:tcPr>
          <w:p>
            <w:pPr/>
            <w:r>
              <w:t xml:space="preserve">Anything the MVP creates</w:t>
            </w:r>
          </w:p>
        </w:tc>
      </w:tr>
      <w:tr>
        <w:tc>
          <w:tcPr>
            <w:tcW w:w="1707" w:type="dxa"/>
          </w:tcPr>
          <w:p>
            <w:pPr/>
            <w:r>
              <w:t xml:space="preserve">Payment request / payment record</w:t>
            </w:r>
          </w:p>
        </w:tc>
        <w:tc>
          <w:tcPr>
            <w:tcW w:w="4588" w:type="dxa"/>
          </w:tcPr>
          <w:p>
            <w:pPr/>
            <w:r>
              <w:t xml:space="preserve">What is owed / what a channel reports as paid</w:t>
            </w:r>
          </w:p>
        </w:tc>
        <w:tc>
          <w:tcPr>
            <w:tcW w:w="3065" w:type="dxa"/>
          </w:tcPr>
          <w:p>
            <w:pPr/>
            <w:r>
              <w:t xml:space="preserve">Each other; they are matched by reconciliation</w:t>
            </w:r>
          </w:p>
        </w:tc>
      </w:tr>
    </w:tbl>
    <w:p>
      <w:pPr>
        <w:pStyle w:val="Heading3"/>
      </w:pPr>
      <w:r>
        <w:t xml:space="preserve">Gaps and contradictions found</w:t>
      </w:r>
    </w:p>
    <w:p>
      <w:pPr>
        <w:pStyle w:val="ListParagraph"/>
        <w:numPr>
          <w:ilvl w:val="0"/>
          <w:numId w:val="3"/>
        </w:numPr>
      </w:pPr>
      <w:r>
        <w:rPr>
          <w:b/>
        </w:rPr>
        <w:t xml:space="preserve">No registered-rights step, but a decision step.</w:t>
      </w:r>
      <w:r>
        <w:t xml:space="preserve"> Recommendation: the MVP ends at a recorded, simulated decision. No rights register is built.</w:t>
      </w:r>
    </w:p>
    <w:p>
      <w:pPr>
        <w:pStyle w:val="ListParagraph"/>
        <w:numPr>
          <w:ilvl w:val="0"/>
          <w:numId w:val="3"/>
        </w:numPr>
      </w:pPr>
      <w:r>
        <w:rPr>
          <w:b/>
        </w:rPr>
        <w:t xml:space="preserve">Application type and required documents are unspecified.</w:t>
      </w:r>
      <w:r>
        <w:t xml:space="preserve"> Provisional: one type, "Demande d'immatriculation (DEMO)", with three DEMO document categories.</w:t>
      </w:r>
    </w:p>
    <w:p>
      <w:pPr>
        <w:pStyle w:val="ListParagraph"/>
        <w:numPr>
          <w:ilvl w:val="0"/>
          <w:numId w:val="3"/>
        </w:numPr>
      </w:pPr>
      <w:r>
        <w:rPr>
          <w:b/>
        </w:rPr>
        <w:t xml:space="preserve">Coordinate reference system is not stated.</w:t>
      </w:r>
      <w:r>
        <w:t xml:space="preserve"> Cameroon spans two UTM zones (32N and 33N). Provisional: store in EPSG:4326, accept EPSG:32632 and 32633 input, compute areas on the spheroid. The official national CRS and datum must be confirmed.</w:t>
      </w:r>
    </w:p>
    <w:p>
      <w:pPr>
        <w:pStyle w:val="ListParagraph"/>
        <w:numPr>
          <w:ilvl w:val="0"/>
          <w:numId w:val="3"/>
        </w:numPr>
      </w:pPr>
      <w:r>
        <w:rPr>
          <w:b/>
        </w:rPr>
        <w:t xml:space="preserve">When overlap detection runs.</w:t>
      </w:r>
      <w:r>
        <w:t xml:space="preserve"> The journey places it after application submission, but it is a parcel property. Provisional: run on every parcel version write; an open alert on the linked parcel blocks the decision step.</w:t>
      </w:r>
    </w:p>
    <w:p>
      <w:pPr>
        <w:pStyle w:val="ListParagraph"/>
        <w:numPr>
          <w:ilvl w:val="0"/>
          <w:numId w:val="3"/>
        </w:numPr>
      </w:pPr>
      <w:r>
        <w:rPr>
          <w:b/>
        </w:rPr>
        <w:t xml:space="preserve">Payment timing.</w:t>
      </w:r>
      <w:r>
        <w:t xml:space="preserve"> Not stated whether non-payment blocks processing. Provisional: payment must be confirmed before completeness can be accepted, behind a configuration flag.</w:t>
      </w:r>
    </w:p>
    <w:p>
      <w:pPr>
        <w:pStyle w:val="ListParagraph"/>
        <w:numPr>
          <w:ilvl w:val="0"/>
          <w:numId w:val="3"/>
        </w:numPr>
      </w:pPr>
      <w:r>
        <w:rPr>
          <w:b/>
        </w:rPr>
        <w:t xml:space="preserve">Separation-of-duties rules are not defined.</w:t>
      </w:r>
      <w:r>
        <w:t xml:space="preserve"> Provisional rules: the decision authority cannot be the reviewer who recommended; an alert resolver cannot be the author of either compared parcel version; nobody assigns roles to themselves.</w:t>
      </w:r>
    </w:p>
    <w:p>
      <w:pPr>
        <w:pStyle w:val="ListParagraph"/>
        <w:numPr>
          <w:ilvl w:val="0"/>
          <w:numId w:val="3"/>
        </w:numPr>
      </w:pPr>
      <w:r>
        <w:rPr>
          <w:b/>
        </w:rPr>
        <w:t xml:space="preserve">"Administrators cannot rewrite audit" versus database superusers.</w:t>
      </w:r>
      <w:r>
        <w:t xml:space="preserve"> The application can enforce this; a database superuser always can. The control is tamper evidence (hash chain plus externally kept checkpoints), and this residual risk is documented.</w:t>
      </w:r>
    </w:p>
    <w:p>
      <w:pPr>
        <w:pStyle w:val="ListParagraph"/>
        <w:numPr>
          <w:ilvl w:val="0"/>
          <w:numId w:val="3"/>
        </w:numPr>
      </w:pPr>
      <w:r>
        <w:rPr>
          <w:b/>
        </w:rPr>
        <w:t xml:space="preserve">Correction of a parcel is a negative-case requirement but correction workflows are out of scope.</w:t>
      </w:r>
      <w:r>
        <w:t xml:space="preserve"> Provisional: support a direct, reasoned new parcel version by a cadastral officer; formal correction requests are future.</w:t>
      </w:r>
    </w:p>
    <w:p>
      <w:pPr>
        <w:pStyle w:val="ListParagraph"/>
        <w:numPr>
          <w:ilvl w:val="0"/>
          <w:numId w:val="3"/>
        </w:numPr>
      </w:pPr>
      <w:r>
        <w:rPr>
          <w:b/>
        </w:rPr>
        <w:t xml:space="preserve">Identity of applicants.</w:t>
      </w:r>
      <w:r>
        <w:t xml:space="preserve"> No identity verification exists in the MVP; self-registered synthetic accounts only.</w:t>
      </w:r>
    </w:p>
    <w:p>
      <w:pPr>
        <w:pStyle w:val="ListParagraph"/>
        <w:numPr>
          <w:ilvl w:val="0"/>
          <w:numId w:val="3"/>
        </w:numPr>
      </w:pPr>
      <w:r>
        <w:rPr>
          <w:b/>
        </w:rPr>
        <w:t xml:space="preserve">Hosting, data residency and connectivity constraints are unknown.</w:t>
      </w:r>
      <w:r>
        <w:t xml:space="preserve"> They do not block the MVP but shape the pilot architecture.</w:t>
      </w:r>
    </w:p>
    <w:p>
      <w:pPr>
        <w:pStyle w:val="Heading2"/>
      </w:pPr>
      <w:r>
        <w:t xml:space="preserve">B. Architecture recommendation</w:t>
      </w:r>
    </w:p>
    <w:p>
      <w:pPr/>
      <w:r>
        <w:t xml:space="preserve">Keep the proposed stack, built as one modular monolith with one PostgreSQL/PostGIS database and a same-origin web front end. It fits the domain (strong transactions, mature spatial SQL), is widely staffed, and runs on a single modest server for the demo. Two changes to the candidate list: no MinIO, and no JWT-based auth.</w:t>
      </w:r>
    </w:p>
    <w:p>
      <w:pPr/>
      <w:r>
        <w:drawing>
          <wp:inline distT="0" distB="0" distL="0" distR="0">
            <wp:extent cx="5486400" cy="3722914"/>
            <wp:docPr id="1" name="image1" descr="MVP deployment · one application, one database"/>
            <a:graphic xmlns:a="http://schemas.openxmlformats.org/drawingml/2006/main">
              <a:graphicData uri="http://schemas.openxmlformats.org/drawingml/2006/picture">
                <pic:pic xmlns:pic="http://schemas.openxmlformats.org/drawingml/2006/picture">
                  <pic:nvPicPr>
                    <pic:cNvPr id="1" name="image1" descr="MVP deployment · one application, one database"/>
                    <pic:cNvPicPr/>
                  </pic:nvPicPr>
                  <pic:blipFill>
                    <a:blip r:embed="rId3"/>
                    <a:stretch>
                      <a:fillRect/>
                    </a:stretch>
                  </pic:blipFill>
                  <pic:spPr>
                    <a:xfrm>
                      <a:off x="0" y="0"/>
                      <a:ext cx="5486400" cy="3722914"/>
                    </a:xfrm>
                    <a:prstGeom prst="rect">
                      <a:avLst/>
                    </a:prstGeom>
                  </pic:spPr>
                </pic:pic>
              </a:graphicData>
            </a:graphic>
          </wp:inline>
        </w:drawing>
      </w:r>
    </w:p>
    <w:p>
      <w:pPr/>
      <w:r>
        <w:t xml:space="preserve">MVP deployment · one application, one database</w:t>
      </w:r>
    </w:p>
    <w:p>
      <w:pPr/>
      <w:r>
        <w:t xml:space="preserve">Everything runs under Docker Compose on one host; only the reverse proxy is reachable from outside.</w:t>
      </w:r>
    </w:p>
    <w:p>
      <w:pPr>
        <w:pStyle w:val="Heading3"/>
      </w:pPr>
      <w:r>
        <w:t xml:space="preserve">Versions (checked October 2026)</w:t>
      </w:r>
    </w:p>
    <w:tbl>
      <w:tblPr>
        <w:tblStyle w:val="TableGrid"/>
        <w:tblW w:w="0" w:type="auto"/>
        <w:tblLayout w:type="fixed"/>
        <w:tblLook w:val="04A0" w:firstRow="1" w:lastRow="0" w:firstColumn="0" w:lastColumn="0" w:noHBand="0" w:noVBand="1"/>
      </w:tblPr>
      <w:tblGrid>
        <w:gridCol w:w="1437"/>
        <w:gridCol w:w="3003"/>
        <w:gridCol w:w="4920"/>
      </w:tblGrid>
      <w:tr>
        <w:trPr>
          <w:tblHeader/>
        </w:trPr>
        <w:tc>
          <w:tcPr>
            <w:tcW w:w="1437" w:type="dxa"/>
            <w:shd w:val="clear" w:color="auto" w:fill="F2F2F2"/>
          </w:tcPr>
          <w:p>
            <w:pPr/>
            <w:r>
              <w:t xml:space="preserve">Component</w:t>
            </w:r>
          </w:p>
        </w:tc>
        <w:tc>
          <w:tcPr>
            <w:tcW w:w="3003" w:type="dxa"/>
            <w:shd w:val="clear" w:color="auto" w:fill="F2F2F2"/>
          </w:tcPr>
          <w:p>
            <w:pPr/>
            <w:r>
              <w:t xml:space="preserve">Choice</w:t>
            </w:r>
          </w:p>
        </w:tc>
        <w:tc>
          <w:tcPr>
            <w:tcW w:w="4920" w:type="dxa"/>
            <w:shd w:val="clear" w:color="auto" w:fill="F2F2F2"/>
          </w:tcPr>
          <w:p>
            <w:pPr/>
            <w:r>
              <w:t xml:space="preserve">Why</w:t>
            </w:r>
          </w:p>
        </w:tc>
      </w:tr>
      <w:tr>
        <w:tc>
          <w:tcPr>
            <w:tcW w:w="1437" w:type="dxa"/>
          </w:tcPr>
          <w:p>
            <w:pPr/>
            <w:r>
              <w:t xml:space="preserve">Runtime</w:t>
            </w:r>
          </w:p>
        </w:tc>
        <w:tc>
          <w:tcPr>
            <w:tcW w:w="3003" w:type="dxa"/>
          </w:tcPr>
          <w:p>
            <w:pPr/>
            <w:r>
              <w:t xml:space="preserve">Java 25 (LTS)</w:t>
            </w:r>
          </w:p>
        </w:tc>
        <w:tc>
          <w:tcPr>
            <w:tcW w:w="4920" w:type="dxa"/>
          </w:tcPr>
          <w:p>
            <w:pPr/>
            <w:r>
              <w:t xml:space="preserve">Long support window; required baseline of current Spring</w:t>
            </w:r>
          </w:p>
        </w:tc>
      </w:tr>
      <w:tr>
        <w:tc>
          <w:tcPr>
            <w:tcW w:w="1437" w:type="dxa"/>
          </w:tcPr>
          <w:p>
            <w:pPr/>
            <w:r>
              <w:t xml:space="preserve">Framework</w:t>
            </w:r>
          </w:p>
        </w:tc>
        <w:tc>
          <w:tcPr>
            <w:tcW w:w="3003" w:type="dxa"/>
          </w:tcPr>
          <w:p>
            <w:pPr/>
            <w:r>
              <w:t xml:space="preserve">Spring Boot 4.1.x</w:t>
            </w:r>
          </w:p>
        </w:tc>
        <w:tc>
          <w:tcPr>
            <w:tcW w:w="4920" w:type="dxa"/>
          </w:tcPr>
          <w:p>
            <w:pPr/>
            <w:r>
              <w:t xml:space="preserve">GA 10 June 2026; open-source support to 30 June 2027 (</w:t>
            </w:r>
            <w:hyperlink r:id="rId4" w:history="1">
              <w:r>
                <w:rPr>
                  <w:rStyle w:val="Hyperlink"/>
                </w:rPr>
                <w:t xml:space="preserve">release notes</w:t>
              </w:r>
            </w:hyperlink>
            <w:r>
              <w:t xml:space="preserve">, </w:t>
            </w:r>
            <w:hyperlink r:id="rId5" w:history="1">
              <w:r>
                <w:rPr>
                  <w:rStyle w:val="Hyperlink"/>
                </w:rPr>
                <w:t xml:space="preserve">support dates</w:t>
              </w:r>
            </w:hyperlink>
            <w:r>
              <w:t xml:space="preserve">). 4.0 support ends 31 Dec 2026</w:t>
            </w:r>
          </w:p>
        </w:tc>
      </w:tr>
      <w:tr>
        <w:tc>
          <w:tcPr>
            <w:tcW w:w="1437" w:type="dxa"/>
          </w:tcPr>
          <w:p>
            <w:pPr/>
            <w:r>
              <w:t xml:space="preserve">Database</w:t>
            </w:r>
          </w:p>
        </w:tc>
        <w:tc>
          <w:tcPr>
            <w:tcW w:w="3003" w:type="dxa"/>
          </w:tcPr>
          <w:p>
            <w:pPr/>
            <w:r>
              <w:t xml:space="preserve">PostgreSQL 18 + PostGIS 3.6.x</w:t>
            </w:r>
          </w:p>
        </w:tc>
        <w:tc>
          <w:tcPr>
            <w:tcW w:w="4920" w:type="dxa"/>
          </w:tcPr>
          <w:p>
            <w:pPr/>
            <w:r>
              <w:t xml:space="preserve">PostGIS 3.6.4 packaged for PG18 in June 2026 (</w:t>
            </w:r>
            <w:hyperlink r:id="rId6" w:history="1">
              <w:r>
                <w:rPr>
                  <w:rStyle w:val="Hyperlink"/>
                </w:rPr>
                <w:t xml:space="preserve">package</w:t>
              </w:r>
            </w:hyperlink>
            <w:r>
              <w:t xml:space="preserve">)</w:t>
            </w:r>
          </w:p>
        </w:tc>
      </w:tr>
      <w:tr>
        <w:tc>
          <w:tcPr>
            <w:tcW w:w="1437" w:type="dxa"/>
          </w:tcPr>
          <w:p>
            <w:pPr/>
            <w:r>
              <w:t xml:space="preserve">Front end</w:t>
            </w:r>
          </w:p>
        </w:tc>
        <w:tc>
          <w:tcPr>
            <w:tcW w:w="3003" w:type="dxa"/>
          </w:tcPr>
          <w:p>
            <w:pPr/>
            <w:r>
              <w:t xml:space="preserve">React + TypeScript, built with Vite</w:t>
            </w:r>
          </w:p>
        </w:tc>
        <w:tc>
          <w:tcPr>
            <w:tcW w:w="4920" w:type="dxa"/>
          </w:tcPr>
          <w:p>
            <w:pPr/>
            <w:r>
              <w:t xml:space="preserve">Exact versions pinned at scaffold time</w:t>
            </w:r>
          </w:p>
        </w:tc>
      </w:tr>
    </w:tbl>
    <w:p>
      <w:pPr>
        <w:pStyle w:val="Heading3"/>
      </w:pPr>
      <w:r>
        <w:t xml:space="preserve">Backend</w:t>
      </w:r>
    </w:p>
    <w:p>
      <w:pPr>
        <w:pStyle w:val="ListParagraph"/>
        <w:numPr>
          <w:ilvl w:val="0"/>
          <w:numId w:val="4"/>
        </w:numPr>
      </w:pPr>
      <w:r>
        <w:rPr>
          <w:b/>
        </w:rPr>
        <w:t xml:space="preserve">Modules</w:t>
      </w:r>
      <w:r>
        <w:t xml:space="preserve"> (Spring Modulith, boundaries verified in a test): </w:t>
      </w:r>
      <w:r>
        <w:rPr>
          <w:rStyle w:val="CodeChar"/>
        </w:rPr>
        <w:t xml:space="preserve">identity</w:t>
      </w:r>
      <w:r>
        <w:t xml:space="preserve">, </w:t>
      </w:r>
      <w:r>
        <w:rPr>
          <w:rStyle w:val="CodeChar"/>
        </w:rPr>
        <w:t xml:space="preserve">parcel</w:t>
      </w:r>
      <w:r>
        <w:t xml:space="preserve">, </w:t>
      </w:r>
      <w:r>
        <w:rPr>
          <w:rStyle w:val="CodeChar"/>
        </w:rPr>
        <w:t xml:space="preserve">application</w:t>
      </w:r>
      <w:r>
        <w:t xml:space="preserve">, </w:t>
      </w:r>
      <w:r>
        <w:rPr>
          <w:rStyle w:val="CodeChar"/>
        </w:rPr>
        <w:t xml:space="preserve">document</w:t>
      </w:r>
      <w:r>
        <w:t xml:space="preserve">, </w:t>
      </w:r>
      <w:r>
        <w:rPr>
          <w:rStyle w:val="CodeChar"/>
        </w:rPr>
        <w:t xml:space="preserve">conflict</w:t>
      </w:r>
      <w:r>
        <w:t xml:space="preserve">, </w:t>
      </w:r>
      <w:r>
        <w:rPr>
          <w:rStyle w:val="CodeChar"/>
        </w:rPr>
        <w:t xml:space="preserve">review</w:t>
      </w:r>
      <w:r>
        <w:t xml:space="preserve">, </w:t>
      </w:r>
      <w:r>
        <w:rPr>
          <w:rStyle w:val="CodeChar"/>
        </w:rPr>
        <w:t xml:space="preserve">payment</w:t>
      </w:r>
      <w:r>
        <w:t xml:space="preserve">, </w:t>
      </w:r>
      <w:r>
        <w:rPr>
          <w:rStyle w:val="CodeChar"/>
        </w:rPr>
        <w:t xml:space="preserve">audit</w:t>
      </w:r>
      <w:r>
        <w:t xml:space="preserve">, </w:t>
      </w:r>
      <w:r>
        <w:rPr>
          <w:rStyle w:val="CodeChar"/>
        </w:rPr>
        <w:t xml:space="preserve">reporting</w:t>
      </w:r>
      <w:r>
        <w:t xml:space="preserve">, </w:t>
      </w:r>
      <w:r>
        <w:rPr>
          <w:rStyle w:val="CodeChar"/>
        </w:rPr>
        <w:t xml:space="preserve">shared</w:t>
      </w:r>
      <w:r>
        <w:t xml:space="preserve">. Modules call each other through public service interfaces only; no cross-module repository access.</w:t>
      </w:r>
    </w:p>
    <w:p>
      <w:pPr>
        <w:pStyle w:val="ListParagraph"/>
        <w:numPr>
          <w:ilvl w:val="0"/>
          <w:numId w:val="4"/>
        </w:numPr>
      </w:pPr>
      <w:r>
        <w:rPr>
          <w:b/>
        </w:rPr>
        <w:t xml:space="preserve">Persistence:</w:t>
      </w:r>
      <w:r>
        <w:t xml:space="preserve"> Spring Data JPA with Hibernate Spatial (JTS) for writes; hand-written SQL for spatial queries so PostGIS does the geometry. Flyway for versioned migrations.</w:t>
      </w:r>
    </w:p>
    <w:p>
      <w:pPr>
        <w:pStyle w:val="ListParagraph"/>
        <w:numPr>
          <w:ilvl w:val="0"/>
          <w:numId w:val="4"/>
        </w:numPr>
      </w:pPr>
      <w:r>
        <w:rPr>
          <w:b/>
        </w:rPr>
        <w:t xml:space="preserve">State machines:</w:t>
      </w:r>
      <w:r>
        <w:t xml:space="preserve"> explicit enum states plus a transition table in code, enforced in one service method and backed by a database check constraint. No workflow engine yet.</w:t>
      </w:r>
    </w:p>
    <w:p>
      <w:pPr>
        <w:pStyle w:val="ListParagraph"/>
        <w:numPr>
          <w:ilvl w:val="0"/>
          <w:numId w:val="4"/>
        </w:numPr>
      </w:pPr>
      <w:r>
        <w:rPr>
          <w:b/>
        </w:rPr>
        <w:t xml:space="preserve">API:</w:t>
      </w:r>
      <w:r>
        <w:t xml:space="preserve"> REST under </w:t>
      </w:r>
      <w:r>
        <w:rPr>
          <w:rStyle w:val="CodeChar"/>
        </w:rPr>
        <w:t xml:space="preserve">/api/v1</w:t>
      </w:r>
      <w:r>
        <w:t xml:space="preserve">, OpenAPI generated by springdoc, errors as RFC 9457 Problem Details with stable error codes (the front end translates codes, so the API stays language-neutral).</w:t>
      </w:r>
    </w:p>
    <w:p>
      <w:pPr>
        <w:pStyle w:val="ListParagraph"/>
        <w:numPr>
          <w:ilvl w:val="0"/>
          <w:numId w:val="4"/>
        </w:numPr>
      </w:pPr>
      <w:r>
        <w:rPr>
          <w:b/>
        </w:rPr>
        <w:t xml:space="preserve">Concurrency:</w:t>
      </w:r>
      <w:r>
        <w:t xml:space="preserve"> optimistic locking (</w:t>
      </w:r>
      <w:r>
        <w:rPr>
          <w:rStyle w:val="CodeChar"/>
        </w:rPr>
        <w:t xml:space="preserve">version</w:t>
      </w:r>
      <w:r>
        <w:t xml:space="preserve"> column) on parcels, applications and alerts; </w:t>
      </w:r>
      <w:r>
        <w:rPr>
          <w:rStyle w:val="CodeChar"/>
        </w:rPr>
        <w:t xml:space="preserve">409 Conflict</w:t>
      </w:r>
      <w:r>
        <w:t xml:space="preserve"> on stale writes. </w:t>
      </w:r>
      <w:r>
        <w:rPr>
          <w:rStyle w:val="CodeChar"/>
        </w:rPr>
        <w:t xml:space="preserve">Idempotency-Key</w:t>
      </w:r>
      <w:r>
        <w:t xml:space="preserve"> header on submission and payment endpoints.</w:t>
      </w:r>
    </w:p>
    <w:p>
      <w:pPr>
        <w:pStyle w:val="Heading3"/>
      </w:pPr>
      <w:r>
        <w:t xml:space="preserve">Authentication and session model</w:t>
      </w:r>
    </w:p>
    <w:p>
      <w:pPr>
        <w:pStyle w:val="ListParagraph"/>
        <w:numPr>
          <w:ilvl w:val="0"/>
          <w:numId w:val="5"/>
        </w:numPr>
      </w:pPr>
      <w:r>
        <w:t xml:space="preserve">Spring Security with </w:t>
      </w:r>
      <w:r>
        <w:rPr>
          <w:b/>
        </w:rPr>
        <w:t xml:space="preserve">server-side sessions</w:t>
      </w:r>
      <w:r>
        <w:t xml:space="preserve"> stored in PostgreSQL (Spring Session JDBC), HttpOnly + Secure + SameSite=Lax cookie, CSRF token. Sessions can be revoked instantly, which a JWT cannot do without extra machinery.</w:t>
      </w:r>
    </w:p>
    <w:p>
      <w:pPr>
        <w:pStyle w:val="ListParagraph"/>
        <w:numPr>
          <w:ilvl w:val="0"/>
          <w:numId w:val="5"/>
        </w:numPr>
      </w:pPr>
      <w:r>
        <w:t xml:space="preserve">Passwords hashed with Argon2id; login rate-limited per account and IP (Bucket4j, in-process).</w:t>
      </w:r>
    </w:p>
    <w:p>
      <w:pPr>
        <w:pStyle w:val="ListParagraph"/>
        <w:numPr>
          <w:ilvl w:val="0"/>
          <w:numId w:val="5"/>
        </w:numPr>
      </w:pPr>
      <w:r>
        <w:t xml:space="preserve">TOTP multifactor for officer, decision, auditor and admin roles; applicants optional. Flagged as a team decision because it adds demo friction.</w:t>
      </w:r>
    </w:p>
    <w:p>
      <w:pPr>
        <w:pStyle w:val="ListParagraph"/>
        <w:numPr>
          <w:ilvl w:val="0"/>
          <w:numId w:val="5"/>
        </w:numPr>
      </w:pPr>
      <w:r>
        <w:t xml:space="preserve">Keycloak or national identity federation is deferred to the pilot, when there is a real identity source to integrate.</w:t>
      </w:r>
    </w:p>
    <w:p>
      <w:pPr>
        <w:pStyle w:val="Heading3"/>
      </w:pPr>
      <w:r>
        <w:t xml:space="preserve">Documents</w:t>
      </w:r>
    </w:p>
    <w:p>
      <w:pPr>
        <w:pStyle w:val="ListParagraph"/>
        <w:numPr>
          <w:ilvl w:val="0"/>
          <w:numId w:val="6"/>
        </w:numPr>
      </w:pPr>
      <w:r>
        <w:t xml:space="preserve">A </w:t>
      </w:r>
      <w:r>
        <w:rPr>
          <w:rStyle w:val="CodeChar"/>
        </w:rPr>
        <w:t xml:space="preserve">DocumentStorage</w:t>
      </w:r>
      <w:r>
        <w:t xml:space="preserve"> interface with a local-filesystem adapter for the MVP and an S3-API adapter written against the AWS SDK.</w:t>
      </w:r>
    </w:p>
    <w:p>
      <w:pPr>
        <w:pStyle w:val="ListParagraph"/>
        <w:numPr>
          <w:ilvl w:val="0"/>
          <w:numId w:val="6"/>
        </w:numPr>
      </w:pPr>
      <w:r>
        <w:rPr>
          <w:b/>
        </w:rPr>
        <w:t xml:space="preserve">Not MinIO:</w:t>
      </w:r>
      <w:r>
        <w:t xml:space="preserve"> its community edition entered maintenance mode in December 2025 and the server repository was archived in April 2026 (</w:t>
      </w:r>
      <w:hyperlink r:id="rId7" w:history="1">
        <w:r>
          <w:rPr>
            <w:rStyle w:val="Hyperlink"/>
          </w:rPr>
          <w:t xml:space="preserve">timeline</w:t>
        </w:r>
      </w:hyperlink>
      <w:r>
        <w:t xml:space="preserve">). Garage, SeaweedFS or a managed S3 service are evaluated before the pilot.</w:t>
      </w:r>
    </w:p>
    <w:p>
      <w:pPr>
        <w:pStyle w:val="ListParagraph"/>
        <w:numPr>
          <w:ilvl w:val="0"/>
          <w:numId w:val="6"/>
        </w:numPr>
      </w:pPr>
      <w:r>
        <w:t xml:space="preserve">Content-type detection by file signature (Apache Tika), PDF/JPEG/PNG only, 10 MB DEMO limit, SHA-256 per file, download only as attachment. Malware scanning (ClamAV) is a pilot requirement.</w:t>
      </w:r>
    </w:p>
    <w:p>
      <w:pPr>
        <w:pStyle w:val="Heading3"/>
      </w:pPr>
      <w:r>
        <w:t xml:space="preserve">Front end</w:t>
      </w:r>
    </w:p>
    <w:p>
      <w:pPr>
        <w:pStyle w:val="ListParagraph"/>
        <w:numPr>
          <w:ilvl w:val="0"/>
          <w:numId w:val="7"/>
        </w:numPr>
      </w:pPr>
      <w:r>
        <w:t xml:space="preserve">React Router, TanStack Query for server state, React Hook Form + Zod, i18next with French and English bundles.</w:t>
      </w:r>
    </w:p>
    <w:p>
      <w:pPr>
        <w:pStyle w:val="ListParagraph"/>
        <w:numPr>
          <w:ilvl w:val="0"/>
          <w:numId w:val="7"/>
        </w:numPr>
      </w:pPr>
      <w:r>
        <w:t xml:space="preserve">MapLibre GL JS for display. Geometry entry in the MVP is by GeoJSON file or paste, not freehand drawing; drawing tools come later. The basemap provider must respect its tile usage policy.</w:t>
      </w:r>
    </w:p>
    <w:p>
      <w:pPr>
        <w:pStyle w:val="ListParagraph"/>
        <w:numPr>
          <w:ilvl w:val="0"/>
          <w:numId w:val="7"/>
        </w:numPr>
      </w:pPr>
      <w:r>
        <w:t xml:space="preserve">Citizen and back-office areas are separate route trees with separate layouts; the server authorizes every call regardless.</w:t>
      </w:r>
    </w:p>
    <w:p>
      <w:pPr>
        <w:pStyle w:val="Heading3"/>
      </w:pPr>
      <w:r>
        <w:t xml:space="preserve">Testing, delivery and operations</w:t>
      </w:r>
    </w:p>
    <w:p>
      <w:pPr>
        <w:pStyle w:val="ListParagraph"/>
        <w:numPr>
          <w:ilvl w:val="0"/>
          <w:numId w:val="8"/>
        </w:numPr>
      </w:pPr>
      <w:r>
        <w:t xml:space="preserve">JUnit 5, Testcontainers with the PostGIS image (spatial tests run against real PostGIS, never H2), Spring Security Test, Modulith verification; Vitest + Testing Library; Playwright for the end-to-end demo script.</w:t>
      </w:r>
    </w:p>
    <w:p>
      <w:pPr>
        <w:pStyle w:val="ListParagraph"/>
        <w:numPr>
          <w:ilvl w:val="0"/>
          <w:numId w:val="8"/>
        </w:numPr>
      </w:pPr>
      <w:r>
        <w:t xml:space="preserve">CI on every push: build, tests, dependency vulnerability scan (OWASP Dependency-Check or Trivy), secret scan (Gitleaks).</w:t>
      </w:r>
    </w:p>
    <w:p>
      <w:pPr>
        <w:pStyle w:val="ListParagraph"/>
        <w:numPr>
          <w:ilvl w:val="0"/>
          <w:numId w:val="8"/>
        </w:numPr>
      </w:pPr>
      <w:r>
        <w:t xml:space="preserve">Docker Compose for local and demo: </w:t>
      </w:r>
      <w:r>
        <w:rPr>
          <w:rStyle w:val="CodeChar"/>
        </w:rPr>
        <w:t xml:space="preserve">db</w:t>
      </w:r>
      <w:r>
        <w:t xml:space="preserve">, </w:t>
      </w:r>
      <w:r>
        <w:rPr>
          <w:rStyle w:val="CodeChar"/>
        </w:rPr>
        <w:t xml:space="preserve">app</w:t>
      </w:r>
      <w:r>
        <w:t xml:space="preserve">, </w:t>
      </w:r>
      <w:r>
        <w:rPr>
          <w:rStyle w:val="CodeChar"/>
        </w:rPr>
        <w:t xml:space="preserve">web</w:t>
      </w:r>
      <w:r>
        <w:t xml:space="preserve"> (reverse proxy serving the built front end and proxying </w:t>
      </w:r>
      <w:r>
        <w:rPr>
          <w:rStyle w:val="CodeChar"/>
        </w:rPr>
        <w:t xml:space="preserve">/api</w:t>
      </w:r>
      <w:r>
        <w:t xml:space="preserve">). TLS terminates at the proxy. The database port is never published outside the host.</w:t>
      </w:r>
    </w:p>
    <w:p>
      <w:pPr>
        <w:pStyle w:val="ListParagraph"/>
        <w:numPr>
          <w:ilvl w:val="0"/>
          <w:numId w:val="8"/>
        </w:numPr>
      </w:pPr>
      <w:r>
        <w:t xml:space="preserve">Actuator health, structured JSON logs carrying a correlation id, nightly </w:t>
      </w:r>
      <w:r>
        <w:rPr>
          <w:rStyle w:val="CodeChar"/>
        </w:rPr>
        <w:t xml:space="preserve">pg_dump</w:t>
      </w:r>
      <w:r>
        <w:t xml:space="preserve"> with a tested restore. Provisional demo targets: RPO 24 hours, RTO 4 hours.</w:t>
      </w:r>
    </w:p>
    <w:p>
      <w:pPr>
        <w:pStyle w:val="Heading3"/>
      </w:pPr>
      <w:r>
        <w:t xml:space="preserve">Deliberately not in the MVP</w:t>
      </w:r>
    </w:p>
    <w:tbl>
      <w:tblPr>
        <w:tblStyle w:val="TableGrid"/>
        <w:tblW w:w="0" w:type="auto"/>
        <w:tblLayout w:type="fixed"/>
        <w:tblLook w:val="04A0" w:firstRow="1" w:lastRow="0" w:firstColumn="0" w:lastColumn="0" w:noHBand="0" w:noVBand="1"/>
      </w:tblPr>
      <w:tblGrid>
        <w:gridCol w:w="2307"/>
        <w:gridCol w:w="4352"/>
        <w:gridCol w:w="2701"/>
      </w:tblGrid>
      <w:tr>
        <w:trPr>
          <w:tblHeader/>
        </w:trPr>
        <w:tc>
          <w:tcPr>
            <w:tcW w:w="2307" w:type="dxa"/>
            <w:shd w:val="clear" w:color="auto" w:fill="F2F2F2"/>
          </w:tcPr>
          <w:p>
            <w:pPr/>
            <w:r>
              <w:t xml:space="preserve">Not introduced</w:t>
            </w:r>
          </w:p>
        </w:tc>
        <w:tc>
          <w:tcPr>
            <w:tcW w:w="4352" w:type="dxa"/>
            <w:shd w:val="clear" w:color="auto" w:fill="F2F2F2"/>
          </w:tcPr>
          <w:p>
            <w:pPr/>
            <w:r>
              <w:t xml:space="preserve">Reason</w:t>
            </w:r>
          </w:p>
        </w:tc>
        <w:tc>
          <w:tcPr>
            <w:tcW w:w="2701" w:type="dxa"/>
            <w:shd w:val="clear" w:color="auto" w:fill="F2F2F2"/>
          </w:tcPr>
          <w:p>
            <w:pPr/>
            <w:r>
              <w:t xml:space="preserve">Revisit when</w:t>
            </w:r>
          </w:p>
        </w:tc>
      </w:tr>
      <w:tr>
        <w:tc>
          <w:tcPr>
            <w:tcW w:w="2307" w:type="dxa"/>
          </w:tcPr>
          <w:p>
            <w:pPr/>
            <w:r>
              <w:t xml:space="preserve">Microservices, Kubernetes</w:t>
            </w:r>
          </w:p>
        </w:tc>
        <w:tc>
          <w:tcPr>
            <w:tcW w:w="4352" w:type="dxa"/>
          </w:tcPr>
          <w:p>
            <w:pPr/>
            <w:r>
              <w:t xml:space="preserve">One team, one database, no independent scaling need</w:t>
            </w:r>
          </w:p>
        </w:tc>
        <w:tc>
          <w:tcPr>
            <w:tcW w:w="2701" w:type="dxa"/>
          </w:tcPr>
          <w:p>
            <w:pPr/>
            <w:r>
              <w:t xml:space="preserve">Multiple teams or offices need independent deploys</w:t>
            </w:r>
          </w:p>
        </w:tc>
      </w:tr>
      <w:tr>
        <w:tc>
          <w:tcPr>
            <w:tcW w:w="2307" w:type="dxa"/>
          </w:tcPr>
          <w:p>
            <w:pPr/>
            <w:r>
              <w:t xml:space="preserve">Kafka or any broker</w:t>
            </w:r>
          </w:p>
        </w:tc>
        <w:tc>
          <w:tcPr>
            <w:tcW w:w="4352" w:type="dxa"/>
          </w:tcPr>
          <w:p>
            <w:pPr/>
            <w:r>
              <w:t xml:space="preserve">In-process domain events suffice; nothing consumes them externally</w:t>
            </w:r>
          </w:p>
        </w:tc>
        <w:tc>
          <w:tcPr>
            <w:tcW w:w="2701" w:type="dxa"/>
          </w:tcPr>
          <w:p>
            <w:pPr/>
            <w:r>
              <w:t xml:space="preserve">External integrations (Domain O)</w:t>
            </w:r>
          </w:p>
        </w:tc>
      </w:tr>
      <w:tr>
        <w:tc>
          <w:tcPr>
            <w:tcW w:w="2307" w:type="dxa"/>
          </w:tcPr>
          <w:p>
            <w:pPr/>
            <w:r>
              <w:t xml:space="preserve">Keycloak / separate IdP</w:t>
            </w:r>
          </w:p>
        </w:tc>
        <w:tc>
          <w:tcPr>
            <w:tcW w:w="4352" w:type="dxa"/>
          </w:tcPr>
          <w:p>
            <w:pPr/>
            <w:r>
              <w:t xml:space="preserve">No external identity source yet</w:t>
            </w:r>
          </w:p>
        </w:tc>
        <w:tc>
          <w:tcPr>
            <w:tcW w:w="2701" w:type="dxa"/>
          </w:tcPr>
          <w:p>
            <w:pPr/>
            <w:r>
              <w:t xml:space="preserve">National ID or SSO integration</w:t>
            </w:r>
          </w:p>
        </w:tc>
      </w:tr>
      <w:tr>
        <w:tc>
          <w:tcPr>
            <w:tcW w:w="2307" w:type="dxa"/>
          </w:tcPr>
          <w:p>
            <w:pPr/>
            <w:r>
              <w:t xml:space="preserve">Redis, caching layer</w:t>
            </w:r>
          </w:p>
        </w:tc>
        <w:tc>
          <w:tcPr>
            <w:tcW w:w="4352" w:type="dxa"/>
          </w:tcPr>
          <w:p>
            <w:pPr/>
            <w:r>
              <w:t xml:space="preserve">No measured performance problem</w:t>
            </w:r>
          </w:p>
        </w:tc>
        <w:tc>
          <w:tcPr>
            <w:tcW w:w="2701" w:type="dxa"/>
          </w:tcPr>
          <w:p>
            <w:pPr/>
            <w:r>
              <w:t xml:space="preserve">Profiling shows one</w:t>
            </w:r>
          </w:p>
        </w:tc>
      </w:tr>
      <w:tr>
        <w:tc>
          <w:tcPr>
            <w:tcW w:w="2307" w:type="dxa"/>
          </w:tcPr>
          <w:p>
            <w:pPr/>
            <w:r>
              <w:t xml:space="preserve">Camunda/Flowable</w:t>
            </w:r>
          </w:p>
        </w:tc>
        <w:tc>
          <w:tcPr>
            <w:tcW w:w="4352" w:type="dxa"/>
          </w:tcPr>
          <w:p>
            <w:pPr/>
            <w:r>
              <w:t xml:space="preserve">Fixed workflow for one application type</w:t>
            </w:r>
          </w:p>
        </w:tc>
        <w:tc>
          <w:tcPr>
            <w:tcW w:w="2701" w:type="dxa"/>
          </w:tcPr>
          <w:p>
            <w:pPr/>
            <w:r>
              <w:t xml:space="preserve">Workflows must be configurable (UC-181)</w:t>
            </w:r>
          </w:p>
        </w:tc>
      </w:tr>
      <w:tr>
        <w:tc>
          <w:tcPr>
            <w:tcW w:w="2307" w:type="dxa"/>
          </w:tcPr>
          <w:p>
            <w:pPr/>
            <w:r>
              <w:t xml:space="preserve">GeoServer, tile server</w:t>
            </w:r>
          </w:p>
        </w:tc>
        <w:tc>
          <w:tcPr>
            <w:tcW w:w="4352" w:type="dxa"/>
          </w:tcPr>
          <w:p>
            <w:pPr/>
            <w:r>
              <w:t xml:space="preserve">API returns GeoJSON for small parcel sets</w:t>
            </w:r>
          </w:p>
        </w:tc>
        <w:tc>
          <w:tcPr>
            <w:tcW w:w="2701" w:type="dxa"/>
          </w:tcPr>
          <w:p>
            <w:pPr/>
            <w:r>
              <w:t xml:space="preserve">Thousands of parcels on screen</w:t>
            </w:r>
          </w:p>
        </w:tc>
      </w:tr>
      <w:tr>
        <w:tc>
          <w:tcPr>
            <w:tcW w:w="2307" w:type="dxa"/>
          </w:tcPr>
          <w:p>
            <w:pPr/>
            <w:r>
              <w:t xml:space="preserve">Blockchain</w:t>
            </w:r>
          </w:p>
        </w:tc>
        <w:tc>
          <w:tcPr>
            <w:tcW w:w="4352" w:type="dxa"/>
          </w:tcPr>
          <w:p>
            <w:pPr/>
            <w:r>
              <w:t xml:space="preserve">A hash-chained audit table with external checkpoints gives tamper evidence at far lower cost</w:t>
            </w:r>
          </w:p>
        </w:tc>
        <w:tc>
          <w:tcPr>
            <w:tcW w:w="2701" w:type="dxa"/>
          </w:tcPr>
          <w:p>
            <w:pPr/>
            <w:r>
              <w:t xml:space="preserve">Never by default</w:t>
            </w:r>
          </w:p>
        </w:tc>
      </w:tr>
      <w:tr>
        <w:tc>
          <w:tcPr>
            <w:tcW w:w="2307" w:type="dxa"/>
          </w:tcPr>
          <w:p>
            <w:pPr/>
            <w:r>
              <w:t xml:space="preserve">GraphQL, event sourcing, CQRS</w:t>
            </w:r>
          </w:p>
        </w:tc>
        <w:tc>
          <w:tcPr>
            <w:tcW w:w="4352" w:type="dxa"/>
          </w:tcPr>
          <w:p>
            <w:pPr/>
            <w:r>
              <w:t xml:space="preserve">No requirement they solve</w:t>
            </w:r>
          </w:p>
        </w:tc>
        <w:tc>
          <w:tcPr>
            <w:tcW w:w="2701" w:type="dxa"/>
          </w:tcPr>
          <w:p>
            <w:pPr/>
          </w:p>
        </w:tc>
      </w:tr>
    </w:tbl>
    <w:p>
      <w:pPr>
        <w:pStyle w:val="Heading2"/>
      </w:pPr>
      <w:r>
        <w:t xml:space="preserve">C. MVP technical specification</w:t>
      </w:r>
    </w:p>
    <w:p>
      <w:pPr/>
      <w:r>
        <w:t xml:space="preserve">Each capability below lists who acts, the rules the server enforces, the flows, and acceptance criteria that become automated tests. Every write produces an audit event (MVP-07), so that is not repeated per item.</w:t>
      </w:r>
    </w:p>
    <w:p>
      <w:pPr>
        <w:pStyle w:val="Heading3"/>
      </w:pPr>
      <w:r>
        <w:t xml:space="preserve">Application lifecycle</w:t>
      </w:r>
    </w:p>
    <w:p>
      <w:pPr/>
      <w:r>
        <w:t xml:space="preserve">Applications move through nine states; only the transitions drawn below are legal, and the server rejects any other with </w:t>
      </w:r>
      <w:r>
        <w:rPr>
          <w:rStyle w:val="CodeChar"/>
        </w:rPr>
        <w:t xml:space="preserve">409 INVALID_TRANSITION</w:t>
      </w:r>
      <w:r>
        <w:t xml:space="preserve">.</w:t>
      </w:r>
    </w:p>
    <w:p>
      <w:pPr/>
      <w:r>
        <w:drawing>
          <wp:inline distT="0" distB="0" distL="0" distR="0">
            <wp:extent cx="5486400" cy="2841171"/>
            <wp:docPr id="2" name="image2" descr="application lifecycle · 9 states"/>
            <a:graphic xmlns:a="http://schemas.openxmlformats.org/drawingml/2006/main">
              <a:graphicData uri="http://schemas.openxmlformats.org/drawingml/2006/picture">
                <pic:pic xmlns:pic="http://schemas.openxmlformats.org/drawingml/2006/picture">
                  <pic:nvPicPr>
                    <pic:cNvPr id="2" name="image2" descr="application lifecycle · 9 states"/>
                    <pic:cNvPicPr/>
                  </pic:nvPicPr>
                  <pic:blipFill>
                    <a:blip r:embed="rId8"/>
                    <a:stretch>
                      <a:fillRect/>
                    </a:stretch>
                  </pic:blipFill>
                  <pic:spPr>
                    <a:xfrm>
                      <a:off x="0" y="0"/>
                      <a:ext cx="5486400" cy="2841171"/>
                    </a:xfrm>
                    <a:prstGeom prst="rect">
                      <a:avLst/>
                    </a:prstGeom>
                  </pic:spPr>
                </pic:pic>
              </a:graphicData>
            </a:graphic>
          </wp:inline>
        </w:drawing>
      </w:r>
    </w:p>
    <w:p>
      <w:pPr/>
      <w:r>
        <w:t xml:space="preserve">application lifecycle · 9 states</w:t>
      </w:r>
    </w:p>
    <w:p>
      <w:pPr/>
      <w:r>
        <w:t xml:space="preserve">Information requests loop back to completeness review; the decision authority can return a case to review, but approved and refused are final in the MVP.</w:t>
      </w:r>
    </w:p>
    <w:p>
      <w:pPr>
        <w:pStyle w:val="Heading3"/>
      </w:pPr>
      <w:r>
        <w:t xml:space="preserve">Permission matrix</w:t>
      </w:r>
    </w:p>
    <w:tbl>
      <w:tblPr>
        <w:tblStyle w:val="TableGrid"/>
        <w:tblW w:w="0" w:type="auto"/>
        <w:tblLayout w:type="fixed"/>
        <w:tblLook w:val="04A0" w:firstRow="1" w:lastRow="0" w:firstColumn="0" w:lastColumn="0" w:noHBand="0" w:noVBand="1"/>
      </w:tblPr>
      <w:tblGrid>
        <w:gridCol w:w="1023"/>
        <w:gridCol w:w="936"/>
        <w:gridCol w:w="870"/>
        <w:gridCol w:w="936"/>
        <w:gridCol w:w="936"/>
        <w:gridCol w:w="936"/>
        <w:gridCol w:w="936"/>
        <w:gridCol w:w="936"/>
        <w:gridCol w:w="936"/>
        <w:gridCol w:w="915"/>
      </w:tblGrid>
      <w:tr>
        <w:trPr>
          <w:tblHeader/>
        </w:trPr>
        <w:tc>
          <w:tcPr>
            <w:tcW w:w="1023" w:type="dxa"/>
            <w:shd w:val="clear" w:color="auto" w:fill="F2F2F2"/>
          </w:tcPr>
          <w:p>
            <w:pPr/>
            <w:r>
              <w:t xml:space="preserve">Permission</w:t>
            </w:r>
          </w:p>
        </w:tc>
        <w:tc>
          <w:tcPr>
            <w:tcW w:w="936" w:type="dxa"/>
            <w:shd w:val="clear" w:color="auto" w:fill="F2F2F2"/>
          </w:tcPr>
          <w:p>
            <w:pPr/>
            <w:r>
              <w:t xml:space="preserve">Applicant</w:t>
            </w:r>
          </w:p>
        </w:tc>
        <w:tc>
          <w:tcPr>
            <w:tcW w:w="870" w:type="dxa"/>
            <w:shd w:val="clear" w:color="auto" w:fill="F2F2F2"/>
          </w:tcPr>
          <w:p>
            <w:pPr/>
            <w:r>
              <w:t xml:space="preserve">Intake</w:t>
            </w:r>
          </w:p>
        </w:tc>
        <w:tc>
          <w:tcPr>
            <w:tcW w:w="936" w:type="dxa"/>
            <w:shd w:val="clear" w:color="auto" w:fill="F2F2F2"/>
          </w:tcPr>
          <w:p>
            <w:pPr/>
            <w:r>
              <w:t xml:space="preserve">Cadastral</w:t>
            </w:r>
          </w:p>
        </w:tc>
        <w:tc>
          <w:tcPr>
            <w:tcW w:w="936" w:type="dxa"/>
            <w:shd w:val="clear" w:color="auto" w:fill="F2F2F2"/>
          </w:tcPr>
          <w:p>
            <w:pPr/>
            <w:r>
              <w:t xml:space="preserve">Reviewer</w:t>
            </w:r>
          </w:p>
        </w:tc>
        <w:tc>
          <w:tcPr>
            <w:tcW w:w="936" w:type="dxa"/>
            <w:shd w:val="clear" w:color="auto" w:fill="F2F2F2"/>
          </w:tcPr>
          <w:p>
            <w:pPr/>
            <w:r>
              <w:t xml:space="preserve">Decision</w:t>
            </w:r>
          </w:p>
        </w:tc>
        <w:tc>
          <w:tcPr>
            <w:tcW w:w="936" w:type="dxa"/>
            <w:shd w:val="clear" w:color="auto" w:fill="F2F2F2"/>
          </w:tcPr>
          <w:p>
            <w:pPr/>
            <w:r>
              <w:t xml:space="preserve">Supervisor</w:t>
            </w:r>
          </w:p>
        </w:tc>
        <w:tc>
          <w:tcPr>
            <w:tcW w:w="936" w:type="dxa"/>
            <w:shd w:val="clear" w:color="auto" w:fill="F2F2F2"/>
          </w:tcPr>
          <w:p>
            <w:pPr/>
            <w:r>
              <w:t xml:space="preserve">Auditor</w:t>
            </w:r>
          </w:p>
        </w:tc>
        <w:tc>
          <w:tcPr>
            <w:tcW w:w="936" w:type="dxa"/>
            <w:shd w:val="clear" w:color="auto" w:fill="F2F2F2"/>
          </w:tcPr>
          <w:p>
            <w:pPr/>
            <w:r>
              <w:t xml:space="preserve">Finance</w:t>
            </w:r>
          </w:p>
        </w:tc>
        <w:tc>
          <w:tcPr>
            <w:tcW w:w="915" w:type="dxa"/>
            <w:shd w:val="clear" w:color="auto" w:fill="F2F2F2"/>
          </w:tcPr>
          <w:p>
            <w:pPr/>
            <w:r>
              <w:t xml:space="preserve">Admin</w:t>
            </w:r>
          </w:p>
        </w:tc>
      </w:tr>
      <w:tr>
        <w:tc>
          <w:tcPr>
            <w:tcW w:w="1023" w:type="dxa"/>
          </w:tcPr>
          <w:p>
            <w:pPr/>
            <w:r>
              <w:t xml:space="preserve">parcel.create / parcel.correct</w:t>
            </w:r>
          </w:p>
        </w:tc>
        <w:tc>
          <w:tcPr>
            <w:tcW w:w="936" w:type="dxa"/>
          </w:tcPr>
          <w:p>
            <w:pPr/>
          </w:p>
        </w:tc>
        <w:tc>
          <w:tcPr>
            <w:tcW w:w="870" w:type="dxa"/>
          </w:tcPr>
          <w:p>
            <w:pPr/>
          </w:p>
        </w:tc>
        <w:tc>
          <w:tcPr>
            <w:tcW w:w="936" w:type="dxa"/>
          </w:tcPr>
          <w:p>
            <w:pPr/>
            <w:r>
              <w:t xml:space="preserve">yes</w:t>
            </w:r>
          </w:p>
        </w:tc>
        <w:tc>
          <w:tcPr>
            <w:tcW w:w="936" w:type="dxa"/>
          </w:tcPr>
          <w:p>
            <w:pPr/>
          </w:p>
        </w:tc>
        <w:tc>
          <w:tcPr>
            <w:tcW w:w="936" w:type="dxa"/>
          </w:tcPr>
          <w:p>
            <w:pPr/>
          </w:p>
        </w:tc>
        <w:tc>
          <w:tcPr>
            <w:tcW w:w="936" w:type="dxa"/>
          </w:tcPr>
          <w:p>
            <w:pPr/>
          </w:p>
        </w:tc>
        <w:tc>
          <w:tcPr>
            <w:tcW w:w="936" w:type="dxa"/>
          </w:tcPr>
          <w:p>
            <w:pPr/>
          </w:p>
        </w:tc>
        <w:tc>
          <w:tcPr>
            <w:tcW w:w="936" w:type="dxa"/>
          </w:tcPr>
          <w:p>
            <w:pPr/>
          </w:p>
        </w:tc>
        <w:tc>
          <w:tcPr>
            <w:tcW w:w="915" w:type="dxa"/>
          </w:tcPr>
          <w:p>
            <w:pPr/>
          </w:p>
        </w:tc>
      </w:tr>
      <w:tr>
        <w:tc>
          <w:tcPr>
            <w:tcW w:w="1023" w:type="dxa"/>
          </w:tcPr>
          <w:p>
            <w:pPr/>
            <w:r>
              <w:t xml:space="preserve">parcel.read</w:t>
            </w:r>
          </w:p>
        </w:tc>
        <w:tc>
          <w:tcPr>
            <w:tcW w:w="936" w:type="dxa"/>
          </w:tcPr>
          <w:p>
            <w:pPr/>
            <w:r>
              <w:t xml:space="preserve">linked only</w:t>
            </w:r>
          </w:p>
        </w:tc>
        <w:tc>
          <w:tcPr>
            <w:tcW w:w="870" w:type="dxa"/>
          </w:tcPr>
          <w:p>
            <w:pPr/>
            <w:r>
              <w:t xml:space="preserve">yes</w:t>
            </w:r>
          </w:p>
        </w:tc>
        <w:tc>
          <w:tcPr>
            <w:tcW w:w="936" w:type="dxa"/>
          </w:tcPr>
          <w:p>
            <w:pPr/>
            <w:r>
              <w:t xml:space="preserve">yes</w:t>
            </w:r>
          </w:p>
        </w:tc>
        <w:tc>
          <w:tcPr>
            <w:tcW w:w="936" w:type="dxa"/>
          </w:tcPr>
          <w:p>
            <w:pPr/>
            <w:r>
              <w:t xml:space="preserve">yes</w:t>
            </w:r>
          </w:p>
        </w:tc>
        <w:tc>
          <w:tcPr>
            <w:tcW w:w="936" w:type="dxa"/>
          </w:tcPr>
          <w:p>
            <w:pPr/>
            <w:r>
              <w:t xml:space="preserve">yes</w:t>
            </w:r>
          </w:p>
        </w:tc>
        <w:tc>
          <w:tcPr>
            <w:tcW w:w="936" w:type="dxa"/>
          </w:tcPr>
          <w:p>
            <w:pPr/>
            <w:r>
              <w:t xml:space="preserve">yes</w:t>
            </w:r>
          </w:p>
        </w:tc>
        <w:tc>
          <w:tcPr>
            <w:tcW w:w="936" w:type="dxa"/>
          </w:tcPr>
          <w:p>
            <w:pPr/>
            <w:r>
              <w:t xml:space="preserve">yes</w:t>
            </w:r>
          </w:p>
        </w:tc>
        <w:tc>
          <w:tcPr>
            <w:tcW w:w="936" w:type="dxa"/>
          </w:tcPr>
          <w:p>
            <w:pPr/>
          </w:p>
        </w:tc>
        <w:tc>
          <w:tcPr>
            <w:tcW w:w="915" w:type="dxa"/>
          </w:tcPr>
          <w:p>
            <w:pPr/>
          </w:p>
        </w:tc>
      </w:tr>
      <w:tr>
        <w:tc>
          <w:tcPr>
            <w:tcW w:w="1023" w:type="dxa"/>
          </w:tcPr>
          <w:p>
            <w:pPr/>
            <w:r>
              <w:t xml:space="preserve">application.create / submit / respond</w:t>
            </w:r>
          </w:p>
        </w:tc>
        <w:tc>
          <w:tcPr>
            <w:tcW w:w="936" w:type="dxa"/>
          </w:tcPr>
          <w:p>
            <w:pPr/>
            <w:r>
              <w:t xml:space="preserve">own</w:t>
            </w:r>
          </w:p>
        </w:tc>
        <w:tc>
          <w:tcPr>
            <w:tcW w:w="870" w:type="dxa"/>
          </w:tcPr>
          <w:p>
            <w:pPr/>
          </w:p>
        </w:tc>
        <w:tc>
          <w:tcPr>
            <w:tcW w:w="936" w:type="dxa"/>
          </w:tcPr>
          <w:p>
            <w:pPr/>
          </w:p>
        </w:tc>
        <w:tc>
          <w:tcPr>
            <w:tcW w:w="936" w:type="dxa"/>
          </w:tcPr>
          <w:p>
            <w:pPr/>
          </w:p>
        </w:tc>
        <w:tc>
          <w:tcPr>
            <w:tcW w:w="936" w:type="dxa"/>
          </w:tcPr>
          <w:p>
            <w:pPr/>
          </w:p>
        </w:tc>
        <w:tc>
          <w:tcPr>
            <w:tcW w:w="936" w:type="dxa"/>
          </w:tcPr>
          <w:p>
            <w:pPr/>
          </w:p>
        </w:tc>
        <w:tc>
          <w:tcPr>
            <w:tcW w:w="936" w:type="dxa"/>
          </w:tcPr>
          <w:p>
            <w:pPr/>
          </w:p>
        </w:tc>
        <w:tc>
          <w:tcPr>
            <w:tcW w:w="936" w:type="dxa"/>
          </w:tcPr>
          <w:p>
            <w:pPr/>
          </w:p>
        </w:tc>
        <w:tc>
          <w:tcPr>
            <w:tcW w:w="915" w:type="dxa"/>
          </w:tcPr>
          <w:p>
            <w:pPr/>
          </w:p>
        </w:tc>
      </w:tr>
      <w:tr>
        <w:tc>
          <w:tcPr>
            <w:tcW w:w="1023" w:type="dxa"/>
          </w:tcPr>
          <w:p>
            <w:pPr/>
            <w:r>
              <w:t xml:space="preserve">application.read</w:t>
            </w:r>
          </w:p>
        </w:tc>
        <w:tc>
          <w:tcPr>
            <w:tcW w:w="936" w:type="dxa"/>
          </w:tcPr>
          <w:p>
            <w:pPr/>
            <w:r>
              <w:t xml:space="preserve">own</w:t>
            </w:r>
          </w:p>
        </w:tc>
        <w:tc>
          <w:tcPr>
            <w:tcW w:w="870" w:type="dxa"/>
          </w:tcPr>
          <w:p>
            <w:pPr/>
            <w:r>
              <w:t xml:space="preserve">office</w:t>
            </w:r>
          </w:p>
        </w:tc>
        <w:tc>
          <w:tcPr>
            <w:tcW w:w="936" w:type="dxa"/>
          </w:tcPr>
          <w:p>
            <w:pPr/>
            <w:r>
              <w:t xml:space="preserve">office</w:t>
            </w:r>
          </w:p>
        </w:tc>
        <w:tc>
          <w:tcPr>
            <w:tcW w:w="936" w:type="dxa"/>
          </w:tcPr>
          <w:p>
            <w:pPr/>
            <w:r>
              <w:t xml:space="preserve">assigned</w:t>
            </w:r>
          </w:p>
        </w:tc>
        <w:tc>
          <w:tcPr>
            <w:tcW w:w="936" w:type="dxa"/>
          </w:tcPr>
          <w:p>
            <w:pPr/>
            <w:r>
              <w:t xml:space="preserve">assigned</w:t>
            </w:r>
          </w:p>
        </w:tc>
        <w:tc>
          <w:tcPr>
            <w:tcW w:w="936" w:type="dxa"/>
          </w:tcPr>
          <w:p>
            <w:pPr/>
            <w:r>
              <w:t xml:space="preserve">office</w:t>
            </w:r>
          </w:p>
        </w:tc>
        <w:tc>
          <w:tcPr>
            <w:tcW w:w="936" w:type="dxa"/>
          </w:tcPr>
          <w:p>
            <w:pPr/>
            <w:r>
              <w:t xml:space="preserve">yes</w:t>
            </w:r>
          </w:p>
        </w:tc>
        <w:tc>
          <w:tcPr>
            <w:tcW w:w="936" w:type="dxa"/>
          </w:tcPr>
          <w:p>
            <w:pPr/>
          </w:p>
        </w:tc>
        <w:tc>
          <w:tcPr>
            <w:tcW w:w="915" w:type="dxa"/>
          </w:tcPr>
          <w:p>
            <w:pPr/>
          </w:p>
        </w:tc>
      </w:tr>
      <w:tr>
        <w:tc>
          <w:tcPr>
            <w:tcW w:w="1023" w:type="dxa"/>
          </w:tcPr>
          <w:p>
            <w:pPr/>
            <w:r>
              <w:t xml:space="preserve">completeness.review / request-info</w:t>
            </w:r>
          </w:p>
        </w:tc>
        <w:tc>
          <w:tcPr>
            <w:tcW w:w="936" w:type="dxa"/>
          </w:tcPr>
          <w:p>
            <w:pPr/>
          </w:p>
        </w:tc>
        <w:tc>
          <w:tcPr>
            <w:tcW w:w="870" w:type="dxa"/>
          </w:tcPr>
          <w:p>
            <w:pPr/>
            <w:r>
              <w:t xml:space="preserve">yes</w:t>
            </w:r>
          </w:p>
        </w:tc>
        <w:tc>
          <w:tcPr>
            <w:tcW w:w="936" w:type="dxa"/>
          </w:tcPr>
          <w:p>
            <w:pPr/>
          </w:p>
        </w:tc>
        <w:tc>
          <w:tcPr>
            <w:tcW w:w="936" w:type="dxa"/>
          </w:tcPr>
          <w:p>
            <w:pPr/>
          </w:p>
        </w:tc>
        <w:tc>
          <w:tcPr>
            <w:tcW w:w="936" w:type="dxa"/>
          </w:tcPr>
          <w:p>
            <w:pPr/>
          </w:p>
        </w:tc>
        <w:tc>
          <w:tcPr>
            <w:tcW w:w="936" w:type="dxa"/>
          </w:tcPr>
          <w:p>
            <w:pPr/>
          </w:p>
        </w:tc>
        <w:tc>
          <w:tcPr>
            <w:tcW w:w="936" w:type="dxa"/>
          </w:tcPr>
          <w:p>
            <w:pPr/>
          </w:p>
        </w:tc>
        <w:tc>
          <w:tcPr>
            <w:tcW w:w="936" w:type="dxa"/>
          </w:tcPr>
          <w:p>
            <w:pPr/>
          </w:p>
        </w:tc>
        <w:tc>
          <w:tcPr>
            <w:tcW w:w="915" w:type="dxa"/>
          </w:tcPr>
          <w:p>
            <w:pPr/>
          </w:p>
        </w:tc>
      </w:tr>
      <w:tr>
        <w:tc>
          <w:tcPr>
            <w:tcW w:w="1023" w:type="dxa"/>
          </w:tcPr>
          <w:p>
            <w:pPr/>
            <w:r>
              <w:t xml:space="preserve">alert.review / resolve</w:t>
            </w:r>
          </w:p>
        </w:tc>
        <w:tc>
          <w:tcPr>
            <w:tcW w:w="936" w:type="dxa"/>
          </w:tcPr>
          <w:p>
            <w:pPr/>
          </w:p>
        </w:tc>
        <w:tc>
          <w:tcPr>
            <w:tcW w:w="870" w:type="dxa"/>
          </w:tcPr>
          <w:p>
            <w:pPr/>
          </w:p>
        </w:tc>
        <w:tc>
          <w:tcPr>
            <w:tcW w:w="936" w:type="dxa"/>
          </w:tcPr>
          <w:p>
            <w:pPr/>
            <w:r>
              <w:t xml:space="preserve">yes (SoD)</w:t>
            </w:r>
          </w:p>
        </w:tc>
        <w:tc>
          <w:tcPr>
            <w:tcW w:w="936" w:type="dxa"/>
          </w:tcPr>
          <w:p>
            <w:pPr/>
          </w:p>
        </w:tc>
        <w:tc>
          <w:tcPr>
            <w:tcW w:w="936" w:type="dxa"/>
          </w:tcPr>
          <w:p>
            <w:pPr/>
          </w:p>
        </w:tc>
        <w:tc>
          <w:tcPr>
            <w:tcW w:w="936" w:type="dxa"/>
          </w:tcPr>
          <w:p>
            <w:pPr/>
          </w:p>
        </w:tc>
        <w:tc>
          <w:tcPr>
            <w:tcW w:w="936" w:type="dxa"/>
          </w:tcPr>
          <w:p>
            <w:pPr/>
          </w:p>
        </w:tc>
        <w:tc>
          <w:tcPr>
            <w:tcW w:w="936" w:type="dxa"/>
          </w:tcPr>
          <w:p>
            <w:pPr/>
          </w:p>
        </w:tc>
        <w:tc>
          <w:tcPr>
            <w:tcW w:w="915" w:type="dxa"/>
          </w:tcPr>
          <w:p>
            <w:pPr/>
          </w:p>
        </w:tc>
      </w:tr>
      <w:tr>
        <w:tc>
          <w:tcPr>
            <w:tcW w:w="1023" w:type="dxa"/>
          </w:tcPr>
          <w:p>
            <w:pPr/>
            <w:r>
              <w:t xml:space="preserve">review.recommend</w:t>
            </w:r>
          </w:p>
        </w:tc>
        <w:tc>
          <w:tcPr>
            <w:tcW w:w="936" w:type="dxa"/>
          </w:tcPr>
          <w:p>
            <w:pPr/>
          </w:p>
        </w:tc>
        <w:tc>
          <w:tcPr>
            <w:tcW w:w="870" w:type="dxa"/>
          </w:tcPr>
          <w:p>
            <w:pPr/>
          </w:p>
        </w:tc>
        <w:tc>
          <w:tcPr>
            <w:tcW w:w="936" w:type="dxa"/>
          </w:tcPr>
          <w:p>
            <w:pPr/>
          </w:p>
        </w:tc>
        <w:tc>
          <w:tcPr>
            <w:tcW w:w="936" w:type="dxa"/>
          </w:tcPr>
          <w:p>
            <w:pPr/>
            <w:r>
              <w:t xml:space="preserve">yes</w:t>
            </w:r>
          </w:p>
        </w:tc>
        <w:tc>
          <w:tcPr>
            <w:tcW w:w="936" w:type="dxa"/>
          </w:tcPr>
          <w:p>
            <w:pPr/>
          </w:p>
        </w:tc>
        <w:tc>
          <w:tcPr>
            <w:tcW w:w="936" w:type="dxa"/>
          </w:tcPr>
          <w:p>
            <w:pPr/>
          </w:p>
        </w:tc>
        <w:tc>
          <w:tcPr>
            <w:tcW w:w="936" w:type="dxa"/>
          </w:tcPr>
          <w:p>
            <w:pPr/>
          </w:p>
        </w:tc>
        <w:tc>
          <w:tcPr>
            <w:tcW w:w="936" w:type="dxa"/>
          </w:tcPr>
          <w:p>
            <w:pPr/>
          </w:p>
        </w:tc>
        <w:tc>
          <w:tcPr>
            <w:tcW w:w="915" w:type="dxa"/>
          </w:tcPr>
          <w:p>
            <w:pPr/>
          </w:p>
        </w:tc>
      </w:tr>
      <w:tr>
        <w:tc>
          <w:tcPr>
            <w:tcW w:w="1023" w:type="dxa"/>
          </w:tcPr>
          <w:p>
            <w:pPr/>
            <w:r>
              <w:t xml:space="preserve">decision.record</w:t>
            </w:r>
          </w:p>
        </w:tc>
        <w:tc>
          <w:tcPr>
            <w:tcW w:w="936" w:type="dxa"/>
          </w:tcPr>
          <w:p>
            <w:pPr/>
          </w:p>
        </w:tc>
        <w:tc>
          <w:tcPr>
            <w:tcW w:w="870" w:type="dxa"/>
          </w:tcPr>
          <w:p>
            <w:pPr/>
          </w:p>
        </w:tc>
        <w:tc>
          <w:tcPr>
            <w:tcW w:w="936" w:type="dxa"/>
          </w:tcPr>
          <w:p>
            <w:pPr/>
          </w:p>
        </w:tc>
        <w:tc>
          <w:tcPr>
            <w:tcW w:w="936" w:type="dxa"/>
          </w:tcPr>
          <w:p>
            <w:pPr/>
          </w:p>
        </w:tc>
        <w:tc>
          <w:tcPr>
            <w:tcW w:w="936" w:type="dxa"/>
          </w:tcPr>
          <w:p>
            <w:pPr/>
            <w:r>
              <w:t xml:space="preserve">yes (SoD)</w:t>
            </w:r>
          </w:p>
        </w:tc>
        <w:tc>
          <w:tcPr>
            <w:tcW w:w="936" w:type="dxa"/>
          </w:tcPr>
          <w:p>
            <w:pPr/>
          </w:p>
        </w:tc>
        <w:tc>
          <w:tcPr>
            <w:tcW w:w="936" w:type="dxa"/>
          </w:tcPr>
          <w:p>
            <w:pPr/>
          </w:p>
        </w:tc>
        <w:tc>
          <w:tcPr>
            <w:tcW w:w="936" w:type="dxa"/>
          </w:tcPr>
          <w:p>
            <w:pPr/>
          </w:p>
        </w:tc>
        <w:tc>
          <w:tcPr>
            <w:tcW w:w="915" w:type="dxa"/>
          </w:tcPr>
          <w:p>
            <w:pPr/>
          </w:p>
        </w:tc>
      </w:tr>
      <w:tr>
        <w:tc>
          <w:tcPr>
            <w:tcW w:w="1023" w:type="dxa"/>
          </w:tcPr>
          <w:p>
            <w:pPr/>
            <w:r>
              <w:t xml:space="preserve">report.workload</w:t>
            </w:r>
          </w:p>
        </w:tc>
        <w:tc>
          <w:tcPr>
            <w:tcW w:w="936" w:type="dxa"/>
          </w:tcPr>
          <w:p>
            <w:pPr/>
          </w:p>
        </w:tc>
        <w:tc>
          <w:tcPr>
            <w:tcW w:w="870" w:type="dxa"/>
          </w:tcPr>
          <w:p>
            <w:pPr/>
          </w:p>
        </w:tc>
        <w:tc>
          <w:tcPr>
            <w:tcW w:w="936" w:type="dxa"/>
          </w:tcPr>
          <w:p>
            <w:pPr/>
          </w:p>
        </w:tc>
        <w:tc>
          <w:tcPr>
            <w:tcW w:w="936" w:type="dxa"/>
          </w:tcPr>
          <w:p>
            <w:pPr/>
          </w:p>
        </w:tc>
        <w:tc>
          <w:tcPr>
            <w:tcW w:w="936" w:type="dxa"/>
          </w:tcPr>
          <w:p>
            <w:pPr/>
          </w:p>
        </w:tc>
        <w:tc>
          <w:tcPr>
            <w:tcW w:w="936" w:type="dxa"/>
          </w:tcPr>
          <w:p>
            <w:pPr/>
            <w:r>
              <w:t xml:space="preserve">yes</w:t>
            </w:r>
          </w:p>
        </w:tc>
        <w:tc>
          <w:tcPr>
            <w:tcW w:w="936" w:type="dxa"/>
          </w:tcPr>
          <w:p>
            <w:pPr/>
          </w:p>
        </w:tc>
        <w:tc>
          <w:tcPr>
            <w:tcW w:w="936" w:type="dxa"/>
          </w:tcPr>
          <w:p>
            <w:pPr/>
          </w:p>
        </w:tc>
        <w:tc>
          <w:tcPr>
            <w:tcW w:w="915" w:type="dxa"/>
          </w:tcPr>
          <w:p>
            <w:pPr/>
          </w:p>
        </w:tc>
      </w:tr>
      <w:tr>
        <w:tc>
          <w:tcPr>
            <w:tcW w:w="1023" w:type="dxa"/>
          </w:tcPr>
          <w:p>
            <w:pPr/>
            <w:r>
              <w:t xml:space="preserve">audit.read / verify</w:t>
            </w:r>
          </w:p>
        </w:tc>
        <w:tc>
          <w:tcPr>
            <w:tcW w:w="936" w:type="dxa"/>
          </w:tcPr>
          <w:p>
            <w:pPr/>
          </w:p>
        </w:tc>
        <w:tc>
          <w:tcPr>
            <w:tcW w:w="870" w:type="dxa"/>
          </w:tcPr>
          <w:p>
            <w:pPr/>
          </w:p>
        </w:tc>
        <w:tc>
          <w:tcPr>
            <w:tcW w:w="936" w:type="dxa"/>
          </w:tcPr>
          <w:p>
            <w:pPr/>
          </w:p>
        </w:tc>
        <w:tc>
          <w:tcPr>
            <w:tcW w:w="936" w:type="dxa"/>
          </w:tcPr>
          <w:p>
            <w:pPr/>
          </w:p>
        </w:tc>
        <w:tc>
          <w:tcPr>
            <w:tcW w:w="936" w:type="dxa"/>
          </w:tcPr>
          <w:p>
            <w:pPr/>
          </w:p>
        </w:tc>
        <w:tc>
          <w:tcPr>
            <w:tcW w:w="936" w:type="dxa"/>
          </w:tcPr>
          <w:p>
            <w:pPr/>
            <w:r>
              <w:t xml:space="preserve">own office</w:t>
            </w:r>
          </w:p>
        </w:tc>
        <w:tc>
          <w:tcPr>
            <w:tcW w:w="936" w:type="dxa"/>
          </w:tcPr>
          <w:p>
            <w:pPr/>
            <w:r>
              <w:t xml:space="preserve">yes</w:t>
            </w:r>
          </w:p>
        </w:tc>
        <w:tc>
          <w:tcPr>
            <w:tcW w:w="936" w:type="dxa"/>
          </w:tcPr>
          <w:p>
            <w:pPr/>
          </w:p>
        </w:tc>
        <w:tc>
          <w:tcPr>
            <w:tcW w:w="915" w:type="dxa"/>
          </w:tcPr>
          <w:p>
            <w:pPr/>
          </w:p>
        </w:tc>
      </w:tr>
      <w:tr>
        <w:tc>
          <w:tcPr>
            <w:tcW w:w="1023" w:type="dxa"/>
          </w:tcPr>
          <w:p>
            <w:pPr/>
            <w:r>
              <w:t xml:space="preserve">payment.pay (simulated)</w:t>
            </w:r>
          </w:p>
        </w:tc>
        <w:tc>
          <w:tcPr>
            <w:tcW w:w="936" w:type="dxa"/>
          </w:tcPr>
          <w:p>
            <w:pPr/>
            <w:r>
              <w:t xml:space="preserve">own</w:t>
            </w:r>
          </w:p>
        </w:tc>
        <w:tc>
          <w:tcPr>
            <w:tcW w:w="870" w:type="dxa"/>
          </w:tcPr>
          <w:p>
            <w:pPr/>
          </w:p>
        </w:tc>
        <w:tc>
          <w:tcPr>
            <w:tcW w:w="936" w:type="dxa"/>
          </w:tcPr>
          <w:p>
            <w:pPr/>
          </w:p>
        </w:tc>
        <w:tc>
          <w:tcPr>
            <w:tcW w:w="936" w:type="dxa"/>
          </w:tcPr>
          <w:p>
            <w:pPr/>
          </w:p>
        </w:tc>
        <w:tc>
          <w:tcPr>
            <w:tcW w:w="936" w:type="dxa"/>
          </w:tcPr>
          <w:p>
            <w:pPr/>
          </w:p>
        </w:tc>
        <w:tc>
          <w:tcPr>
            <w:tcW w:w="936" w:type="dxa"/>
          </w:tcPr>
          <w:p>
            <w:pPr/>
          </w:p>
        </w:tc>
        <w:tc>
          <w:tcPr>
            <w:tcW w:w="936" w:type="dxa"/>
          </w:tcPr>
          <w:p>
            <w:pPr/>
          </w:p>
        </w:tc>
        <w:tc>
          <w:tcPr>
            <w:tcW w:w="936" w:type="dxa"/>
          </w:tcPr>
          <w:p>
            <w:pPr/>
          </w:p>
        </w:tc>
        <w:tc>
          <w:tcPr>
            <w:tcW w:w="915" w:type="dxa"/>
          </w:tcPr>
          <w:p>
            <w:pPr/>
          </w:p>
        </w:tc>
      </w:tr>
      <w:tr>
        <w:tc>
          <w:tcPr>
            <w:tcW w:w="1023" w:type="dxa"/>
          </w:tcPr>
          <w:p>
            <w:pPr/>
            <w:r>
              <w:t xml:space="preserve">payment.reconcile</w:t>
            </w:r>
          </w:p>
        </w:tc>
        <w:tc>
          <w:tcPr>
            <w:tcW w:w="936" w:type="dxa"/>
          </w:tcPr>
          <w:p>
            <w:pPr/>
          </w:p>
        </w:tc>
        <w:tc>
          <w:tcPr>
            <w:tcW w:w="870" w:type="dxa"/>
          </w:tcPr>
          <w:p>
            <w:pPr/>
          </w:p>
        </w:tc>
        <w:tc>
          <w:tcPr>
            <w:tcW w:w="936" w:type="dxa"/>
          </w:tcPr>
          <w:p>
            <w:pPr/>
          </w:p>
        </w:tc>
        <w:tc>
          <w:tcPr>
            <w:tcW w:w="936" w:type="dxa"/>
          </w:tcPr>
          <w:p>
            <w:pPr/>
          </w:p>
        </w:tc>
        <w:tc>
          <w:tcPr>
            <w:tcW w:w="936" w:type="dxa"/>
          </w:tcPr>
          <w:p>
            <w:pPr/>
          </w:p>
        </w:tc>
        <w:tc>
          <w:tcPr>
            <w:tcW w:w="936" w:type="dxa"/>
          </w:tcPr>
          <w:p>
            <w:pPr/>
          </w:p>
        </w:tc>
        <w:tc>
          <w:tcPr>
            <w:tcW w:w="936" w:type="dxa"/>
          </w:tcPr>
          <w:p>
            <w:pPr/>
          </w:p>
        </w:tc>
        <w:tc>
          <w:tcPr>
            <w:tcW w:w="936" w:type="dxa"/>
          </w:tcPr>
          <w:p>
            <w:pPr/>
            <w:r>
              <w:t xml:space="preserve">yes</w:t>
            </w:r>
          </w:p>
        </w:tc>
        <w:tc>
          <w:tcPr>
            <w:tcW w:w="915" w:type="dxa"/>
          </w:tcPr>
          <w:p>
            <w:pPr/>
          </w:p>
        </w:tc>
      </w:tr>
      <w:tr>
        <w:tc>
          <w:tcPr>
            <w:tcW w:w="1023" w:type="dxa"/>
          </w:tcPr>
          <w:p>
            <w:pPr/>
            <w:r>
              <w:t xml:space="preserve">user.manage / role.assign</w:t>
            </w:r>
          </w:p>
        </w:tc>
        <w:tc>
          <w:tcPr>
            <w:tcW w:w="936" w:type="dxa"/>
          </w:tcPr>
          <w:p>
            <w:pPr/>
          </w:p>
        </w:tc>
        <w:tc>
          <w:tcPr>
            <w:tcW w:w="870" w:type="dxa"/>
          </w:tcPr>
          <w:p>
            <w:pPr/>
          </w:p>
        </w:tc>
        <w:tc>
          <w:tcPr>
            <w:tcW w:w="936" w:type="dxa"/>
          </w:tcPr>
          <w:p>
            <w:pPr/>
          </w:p>
        </w:tc>
        <w:tc>
          <w:tcPr>
            <w:tcW w:w="936" w:type="dxa"/>
          </w:tcPr>
          <w:p>
            <w:pPr/>
          </w:p>
        </w:tc>
        <w:tc>
          <w:tcPr>
            <w:tcW w:w="936" w:type="dxa"/>
          </w:tcPr>
          <w:p>
            <w:pPr/>
          </w:p>
        </w:tc>
        <w:tc>
          <w:tcPr>
            <w:tcW w:w="936" w:type="dxa"/>
          </w:tcPr>
          <w:p>
            <w:pPr/>
          </w:p>
        </w:tc>
        <w:tc>
          <w:tcPr>
            <w:tcW w:w="936" w:type="dxa"/>
          </w:tcPr>
          <w:p>
            <w:pPr/>
          </w:p>
        </w:tc>
        <w:tc>
          <w:tcPr>
            <w:tcW w:w="936" w:type="dxa"/>
          </w:tcPr>
          <w:p>
            <w:pPr/>
          </w:p>
        </w:tc>
        <w:tc>
          <w:tcPr>
            <w:tcW w:w="915" w:type="dxa"/>
          </w:tcPr>
          <w:p>
            <w:pPr/>
            <w:r>
              <w:t xml:space="preserve">yes, never to self</w:t>
            </w:r>
          </w:p>
        </w:tc>
      </w:tr>
    </w:tbl>
    <w:p>
      <w:pPr/>
      <w:r>
        <w:t xml:space="preserve">Roles are scoped to an office; "office" means records whose application is assigned to the user's office.</w:t>
      </w:r>
    </w:p>
    <w:p>
      <w:pPr>
        <w:pStyle w:val="Heading3"/>
      </w:pPr>
      <w:r>
        <w:t xml:space="preserve">MVP-01 Parcel creation and identification</w:t>
      </w:r>
    </w:p>
    <w:p>
      <w:pPr>
        <w:pStyle w:val="ListParagraph"/>
        <w:numPr>
          <w:ilvl w:val="0"/>
          <w:numId w:val="9"/>
        </w:numPr>
      </w:pPr>
      <w:r>
        <w:rPr>
          <w:b/>
        </w:rPr>
        <w:t xml:space="preserve">Actors:</w:t>
      </w:r>
      <w:r>
        <w:t xml:space="preserve"> cadastral officer; any back-office role reads.</w:t>
      </w:r>
    </w:p>
    <w:p>
      <w:pPr>
        <w:pStyle w:val="ListParagraph"/>
        <w:numPr>
          <w:ilvl w:val="0"/>
          <w:numId w:val="9"/>
        </w:numPr>
      </w:pPr>
      <w:r>
        <w:rPr>
          <w:b/>
        </w:rPr>
        <w:t xml:space="preserve">Rules:</w:t>
      </w:r>
      <w:r>
        <w:t xml:space="preserve"> reference generated by the server (format DEMO, see Task D), unique, never reused. Geometry must be Polygon or MultiPolygon, valid per </w:t>
      </w:r>
      <w:r>
        <w:rPr>
          <w:rStyle w:val="CodeChar"/>
        </w:rPr>
        <w:t xml:space="preserve">ST_IsValid</w:t>
      </w:r>
      <w:r>
        <w:t xml:space="preserve">, with an explicit SRID in {4326, 32632, 32633}; it is transformed to 4326 for storage. Invalid geometry is rejected with the </w:t>
      </w:r>
      <w:r>
        <w:rPr>
          <w:rStyle w:val="CodeChar"/>
        </w:rPr>
        <w:t xml:space="preserve">ST_IsValidReason</w:t>
      </w:r>
      <w:r>
        <w:t xml:space="preserve"> text; it is never silently repaired. Verification status starts </w:t>
      </w:r>
      <w:r>
        <w:rPr>
          <w:rStyle w:val="CodeChar"/>
        </w:rPr>
        <w:t xml:space="preserve">UNVERIFIED</w:t>
      </w:r>
      <w:r>
        <w:t xml:space="preserve">. A correction creates a new version with a mandatory reason; earlier versions are read-only.</w:t>
      </w:r>
    </w:p>
    <w:p>
      <w:pPr>
        <w:pStyle w:val="ListParagraph"/>
        <w:numPr>
          <w:ilvl w:val="0"/>
          <w:numId w:val="9"/>
        </w:numPr>
      </w:pPr>
      <w:r>
        <w:rPr>
          <w:b/>
        </w:rPr>
        <w:t xml:space="preserve">Normal flow:</w:t>
      </w:r>
      <w:r>
        <w:t xml:space="preserve"> officer submits locality, optional external reference, GeoJSON → server validates, stores parcel + version 1, computes area in m², runs overlap detection (MVP-04) → returns reference and any alerts.</w:t>
      </w:r>
    </w:p>
    <w:p>
      <w:pPr>
        <w:pStyle w:val="ListParagraph"/>
        <w:numPr>
          <w:ilvl w:val="0"/>
          <w:numId w:val="9"/>
        </w:numPr>
      </w:pPr>
      <w:r>
        <w:rPr>
          <w:b/>
        </w:rPr>
        <w:t xml:space="preserve">Alternative flows:</w:t>
      </w:r>
      <w:r>
        <w:t xml:space="preserve"> invalid geometry → </w:t>
      </w:r>
      <w:r>
        <w:rPr>
          <w:rStyle w:val="CodeChar"/>
        </w:rPr>
        <w:t xml:space="preserve">422 GEOMETRY_INVALID</w:t>
      </w:r>
      <w:r>
        <w:t xml:space="preserve">; unsupported or missing SRID → </w:t>
      </w:r>
      <w:r>
        <w:rPr>
          <w:rStyle w:val="CodeChar"/>
        </w:rPr>
        <w:t xml:space="preserve">422 CRS_UNSUPPORTED</w:t>
      </w:r>
      <w:r>
        <w:t xml:space="preserve">; non-officer → </w:t>
      </w:r>
      <w:r>
        <w:rPr>
          <w:rStyle w:val="CodeChar"/>
        </w:rPr>
        <w:t xml:space="preserve">403</w:t>
      </w:r>
      <w:r>
        <w:t xml:space="preserve">; stale version on correction → </w:t>
      </w:r>
      <w:r>
        <w:rPr>
          <w:rStyle w:val="CodeChar"/>
        </w:rPr>
        <w:t xml:space="preserve">409</w:t>
      </w:r>
      <w:r>
        <w:t xml:space="preserve">.</w:t>
      </w:r>
    </w:p>
    <w:p>
      <w:pPr>
        <w:pStyle w:val="ListParagraph"/>
        <w:numPr>
          <w:ilvl w:val="0"/>
          <w:numId w:val="9"/>
        </w:numPr>
      </w:pPr>
      <w:r>
        <w:rPr>
          <w:b/>
        </w:rPr>
        <w:t xml:space="preserve">Acceptance:</w:t>
      </w:r>
      <w:r>
        <w:t xml:space="preserve"> valid parcel is retrievable by reference and renders on the map; a self-intersecting polygon is rejected with its reason; a UTM 33N input and its 4326 equivalent store the same geometry within 1 cm; a correction leaves version 1 readable and both versions in history; an applicant gets 403.</w:t>
      </w:r>
    </w:p>
    <w:p>
      <w:pPr>
        <w:pStyle w:val="Heading3"/>
      </w:pPr>
      <w:r>
        <w:t xml:space="preserve">MVP-02 Application submission</w:t>
      </w:r>
    </w:p>
    <w:p>
      <w:pPr>
        <w:pStyle w:val="ListParagraph"/>
        <w:numPr>
          <w:ilvl w:val="0"/>
          <w:numId w:val="10"/>
        </w:numPr>
      </w:pPr>
      <w:r>
        <w:rPr>
          <w:b/>
        </w:rPr>
        <w:t xml:space="preserve">Actors:</w:t>
      </w:r>
      <w:r>
        <w:t xml:space="preserve"> applicant (representative recorded as a field).</w:t>
      </w:r>
    </w:p>
    <w:p>
      <w:pPr>
        <w:pStyle w:val="ListParagraph"/>
        <w:numPr>
          <w:ilvl w:val="0"/>
          <w:numId w:val="10"/>
        </w:numPr>
      </w:pPr>
      <w:r>
        <w:rPr>
          <w:b/>
        </w:rPr>
        <w:t xml:space="preserve">Rules:</w:t>
      </w:r>
      <w:r>
        <w:t xml:space="preserve"> one DEMO application type. Parcel link optional at draft, required at submit. Reference issued at submit, not at draft. Submission is idempotent per </w:t>
      </w:r>
      <w:r>
        <w:rPr>
          <w:rStyle w:val="CodeChar"/>
        </w:rPr>
        <w:t xml:space="preserve">Idempotency-Key</w:t>
      </w:r>
      <w:r>
        <w:t xml:space="preserve">. Only the owner sees or edits it.</w:t>
      </w:r>
    </w:p>
    <w:p>
      <w:pPr>
        <w:pStyle w:val="ListParagraph"/>
        <w:numPr>
          <w:ilvl w:val="0"/>
          <w:numId w:val="10"/>
        </w:numPr>
      </w:pPr>
      <w:r>
        <w:rPr>
          <w:b/>
        </w:rPr>
        <w:t xml:space="preserve">Normal flow:</w:t>
      </w:r>
      <w:r>
        <w:t xml:space="preserve"> create draft → fill fields → upload documents → submit → server runs completeness (MVP-03), creates payment request (MVP-08), sets </w:t>
      </w:r>
      <w:r>
        <w:rPr>
          <w:rStyle w:val="CodeChar"/>
        </w:rPr>
        <w:t xml:space="preserve">SUBMITTED</w:t>
      </w:r>
      <w:r>
        <w:t xml:space="preserve">, returns reference.</w:t>
      </w:r>
    </w:p>
    <w:p>
      <w:pPr>
        <w:pStyle w:val="ListParagraph"/>
        <w:numPr>
          <w:ilvl w:val="0"/>
          <w:numId w:val="10"/>
        </w:numPr>
      </w:pPr>
      <w:r>
        <w:rPr>
          <w:b/>
        </w:rPr>
        <w:t xml:space="preserve">Alternative flows:</w:t>
      </w:r>
      <w:r>
        <w:t xml:space="preserve"> submit with missing required data → </w:t>
      </w:r>
      <w:r>
        <w:rPr>
          <w:rStyle w:val="CodeChar"/>
        </w:rPr>
        <w:t xml:space="preserve">422</w:t>
      </w:r>
      <w:r>
        <w:t xml:space="preserve"> listing missing items, state stays </w:t>
      </w:r>
      <w:r>
        <w:rPr>
          <w:rStyle w:val="CodeChar"/>
        </w:rPr>
        <w:t xml:space="preserve">DRAFT</w:t>
      </w:r>
      <w:r>
        <w:t xml:space="preserve">; another user's id in the URL → </w:t>
      </w:r>
      <w:r>
        <w:rPr>
          <w:rStyle w:val="CodeChar"/>
        </w:rPr>
        <w:t xml:space="preserve">404</w:t>
      </w:r>
      <w:r>
        <w:t xml:space="preserve"> (no existence leak); double submit with same key → same response, one application.</w:t>
      </w:r>
    </w:p>
    <w:p>
      <w:pPr>
        <w:pStyle w:val="ListParagraph"/>
        <w:numPr>
          <w:ilvl w:val="0"/>
          <w:numId w:val="10"/>
        </w:numPr>
      </w:pPr>
      <w:r>
        <w:rPr>
          <w:b/>
        </w:rPr>
        <w:t xml:space="preserve">Acceptance:</w:t>
      </w:r>
      <w:r>
        <w:t xml:space="preserve"> reference unique and formatted; status history row written; applicant B cannot read applicant A's application.</w:t>
      </w:r>
    </w:p>
    <w:p>
      <w:pPr>
        <w:pStyle w:val="Heading3"/>
      </w:pPr>
      <w:r>
        <w:t xml:space="preserve">MVP-03 Completeness checking</w:t>
      </w:r>
    </w:p>
    <w:p>
      <w:pPr>
        <w:pStyle w:val="ListParagraph"/>
        <w:numPr>
          <w:ilvl w:val="0"/>
          <w:numId w:val="11"/>
        </w:numPr>
      </w:pPr>
      <w:r>
        <w:rPr>
          <w:b/>
        </w:rPr>
        <w:t xml:space="preserve">Actors:</w:t>
      </w:r>
      <w:r>
        <w:t xml:space="preserve"> system, intake officer, applicant.</w:t>
      </w:r>
    </w:p>
    <w:p>
      <w:pPr>
        <w:pStyle w:val="ListParagraph"/>
        <w:numPr>
          <w:ilvl w:val="0"/>
          <w:numId w:val="11"/>
        </w:numPr>
      </w:pPr>
      <w:r>
        <w:rPr>
          <w:b/>
        </w:rPr>
        <w:t xml:space="preserve">Rules:</w:t>
      </w:r>
      <w:r>
        <w:t xml:space="preserve"> requirements are data (application type → required fields and document categories), versioned with effective dates. The check reports presence only. Officer outcomes: </w:t>
      </w:r>
      <w:r>
        <w:rPr>
          <w:rStyle w:val="CodeChar"/>
        </w:rPr>
        <w:t xml:space="preserve">COMPLETE</w:t>
      </w:r>
      <w:r>
        <w:t xml:space="preserve"> or </w:t>
      </w:r>
      <w:r>
        <w:rPr>
          <w:rStyle w:val="CodeChar"/>
        </w:rPr>
        <w:t xml:space="preserve">INFO_REQUESTED</w:t>
      </w:r>
      <w:r>
        <w:t xml:space="preserve"> with listed items and a message. Applicant's response adds documents as new versions; nothing is overwritten.</w:t>
      </w:r>
    </w:p>
    <w:p>
      <w:pPr>
        <w:pStyle w:val="ListParagraph"/>
        <w:numPr>
          <w:ilvl w:val="0"/>
          <w:numId w:val="11"/>
        </w:numPr>
      </w:pPr>
      <w:r>
        <w:rPr>
          <w:b/>
        </w:rPr>
        <w:t xml:space="preserve">Flows:</w:t>
      </w:r>
      <w:r>
        <w:t xml:space="preserve"> officer opens the case, sees the automatic result, accepts (→ </w:t>
      </w:r>
      <w:r>
        <w:rPr>
          <w:rStyle w:val="CodeChar"/>
        </w:rPr>
        <w:t xml:space="preserve">UNDER_REVIEW</w:t>
      </w:r>
      <w:r>
        <w:t xml:space="preserve">) or requests information (→ </w:t>
      </w:r>
      <w:r>
        <w:rPr>
          <w:rStyle w:val="CodeChar"/>
        </w:rPr>
        <w:t xml:space="preserve">INFO_REQUESTED</w:t>
      </w:r>
      <w:r>
        <w:t xml:space="preserve">) → applicant responds (→ </w:t>
      </w:r>
      <w:r>
        <w:rPr>
          <w:rStyle w:val="CodeChar"/>
        </w:rPr>
        <w:t xml:space="preserve">UNDER_COMPLETENESS_REVIEW</w:t>
      </w:r>
      <w:r>
        <w:t xml:space="preserve">). Accept is refused while required items are missing or (if the flag is on) payment is unconfirmed.</w:t>
      </w:r>
    </w:p>
    <w:p>
      <w:pPr>
        <w:pStyle w:val="ListParagraph"/>
        <w:numPr>
          <w:ilvl w:val="0"/>
          <w:numId w:val="11"/>
        </w:numPr>
      </w:pPr>
      <w:r>
        <w:rPr>
          <w:b/>
        </w:rPr>
        <w:t xml:space="preserve">Acceptance:</w:t>
      </w:r>
      <w:r>
        <w:t xml:space="preserve"> missing category shows as missing; request-info round trip preserves both document versions; accept with missing items returns </w:t>
      </w:r>
      <w:r>
        <w:rPr>
          <w:rStyle w:val="CodeChar"/>
        </w:rPr>
        <w:t xml:space="preserve">409</w:t>
      </w:r>
      <w:r>
        <w:t xml:space="preserve">.</w:t>
      </w:r>
    </w:p>
    <w:p>
      <w:pPr>
        <w:pStyle w:val="Heading3"/>
      </w:pPr>
      <w:r>
        <w:t xml:space="preserve">MVP-04 Duplicate and overlap detection</w:t>
      </w:r>
    </w:p>
    <w:p>
      <w:pPr>
        <w:pStyle w:val="ListParagraph"/>
        <w:numPr>
          <w:ilvl w:val="0"/>
          <w:numId w:val="12"/>
        </w:numPr>
      </w:pPr>
      <w:r>
        <w:rPr>
          <w:b/>
        </w:rPr>
        <w:t xml:space="preserve">Actors:</w:t>
      </w:r>
      <w:r>
        <w:t xml:space="preserve"> system raises; cadastral officer reviews and resolves.</w:t>
      </w:r>
    </w:p>
    <w:p>
      <w:pPr>
        <w:pStyle w:val="ListParagraph"/>
        <w:numPr>
          <w:ilvl w:val="0"/>
          <w:numId w:val="12"/>
        </w:numPr>
      </w:pPr>
      <w:r>
        <w:rPr>
          <w:b/>
        </w:rPr>
        <w:t xml:space="preserve">Definitions (DEMO thresholds, configurable):</w:t>
      </w:r>
    </w:p>
    <w:p>
      <w:pPr>
        <w:pStyle w:val="ListParagraph"/>
        <w:numPr>
          <w:ilvl w:val="1"/>
          <w:numId w:val="13"/>
        </w:numPr>
      </w:pPr>
      <w:r>
        <w:rPr>
          <w:i/>
        </w:rPr>
        <w:t xml:space="preserve">Overlap</w:t>
      </w:r>
      <w:r>
        <w:t xml:space="preserve">: interiors intersect (</w:t>
      </w:r>
      <w:r>
        <w:rPr>
          <w:rStyle w:val="CodeChar"/>
        </w:rPr>
        <w:t xml:space="preserve">ST_Relate</w:t>
      </w:r>
      <w:r>
        <w:t xml:space="preserve"> pattern </w:t>
      </w:r>
      <w:r>
        <w:rPr>
          <w:rStyle w:val="CodeChar"/>
        </w:rPr>
        <w:t xml:space="preserve">T********</w:t>
      </w:r>
      <w:r>
        <w:t xml:space="preserve">) and intersection area ≥ 1 m², computed on the spheroid. Parcels that only share a boundary or a point are not flagged.</w:t>
      </w:r>
    </w:p>
    <w:p>
      <w:pPr>
        <w:pStyle w:val="ListParagraph"/>
        <w:numPr>
          <w:ilvl w:val="1"/>
          <w:numId w:val="13"/>
        </w:numPr>
      </w:pPr>
      <w:r>
        <w:rPr>
          <w:i/>
        </w:rPr>
        <w:t xml:space="preserve">Possible duplicate geometry</w:t>
      </w:r>
      <w:r>
        <w:t xml:space="preserve">: overlap where intersection ≥ 95% of each parcel's area.</w:t>
      </w:r>
    </w:p>
    <w:p>
      <w:pPr>
        <w:pStyle w:val="ListParagraph"/>
        <w:numPr>
          <w:ilvl w:val="1"/>
          <w:numId w:val="13"/>
        </w:numPr>
      </w:pPr>
      <w:r>
        <w:rPr>
          <w:i/>
        </w:rPr>
        <w:t xml:space="preserve">Duplicate reference</w:t>
      </w:r>
      <w:r>
        <w:t xml:space="preserve">: same normalised external reference on two active parcels.</w:t>
      </w:r>
    </w:p>
    <w:p>
      <w:pPr>
        <w:pStyle w:val="ListParagraph"/>
        <w:numPr>
          <w:ilvl w:val="0"/>
          <w:numId w:val="12"/>
        </w:numPr>
      </w:pPr>
      <w:r>
        <w:rPr>
          <w:b/>
        </w:rPr>
        <w:t xml:space="preserve">Rules:</w:t>
      </w:r>
      <w:r>
        <w:t xml:space="preserve"> compares the new version against current versions of active parcels via GiST index. One open alert per parcel pair. The alert stores both version ids, the intersection area, both percentages and the intersection geometry as evidence. Resolution options: </w:t>
      </w:r>
      <w:r>
        <w:rPr>
          <w:rStyle w:val="CodeChar"/>
        </w:rPr>
        <w:t xml:space="preserve">NO_CONFLICT</w:t>
      </w:r>
      <w:r>
        <w:t xml:space="preserve">, </w:t>
      </w:r>
      <w:r>
        <w:rPr>
          <w:rStyle w:val="CodeChar"/>
        </w:rPr>
        <w:t xml:space="preserve">DATA_ERROR_CORRECTED</w:t>
      </w:r>
      <w:r>
        <w:t xml:space="preserve">, </w:t>
      </w:r>
      <w:r>
        <w:rPr>
          <w:rStyle w:val="CodeChar"/>
        </w:rPr>
        <w:t xml:space="preserve">REFERRED_FOR_ADJUDICATION</w:t>
      </w:r>
      <w:r>
        <w:t xml:space="preserve">, each with a mandatory note. An open alert on an application's parcel blocks the decision.</w:t>
      </w:r>
    </w:p>
    <w:p>
      <w:pPr>
        <w:pStyle w:val="ListParagraph"/>
        <w:numPr>
          <w:ilvl w:val="0"/>
          <w:numId w:val="12"/>
        </w:numPr>
      </w:pPr>
      <w:r>
        <w:rPr>
          <w:b/>
        </w:rPr>
        <w:t xml:space="preserve">Acceptance:</w:t>
      </w:r>
      <w:r>
        <w:t xml:space="preserve"> synthetic fixture set (Task D) yields exactly its expected alerts; touching parcels yield none; the resolver cannot be either version's author.</w:t>
      </w:r>
    </w:p>
    <w:p>
      <w:pPr>
        <w:pStyle w:val="Heading3"/>
      </w:pPr>
      <w:r>
        <w:t xml:space="preserve">MVP-05 Review and decision</w:t>
      </w:r>
    </w:p>
    <w:p>
      <w:pPr>
        <w:pStyle w:val="ListParagraph"/>
        <w:numPr>
          <w:ilvl w:val="0"/>
          <w:numId w:val="14"/>
        </w:numPr>
      </w:pPr>
      <w:r>
        <w:rPr>
          <w:b/>
        </w:rPr>
        <w:t xml:space="preserve">Actors:</w:t>
      </w:r>
      <w:r>
        <w:t xml:space="preserve"> reviewer, decision authority (simulated).</w:t>
      </w:r>
    </w:p>
    <w:p>
      <w:pPr>
        <w:pStyle w:val="ListParagraph"/>
        <w:numPr>
          <w:ilvl w:val="0"/>
          <w:numId w:val="14"/>
        </w:numPr>
      </w:pPr>
      <w:r>
        <w:rPr>
          <w:b/>
        </w:rPr>
        <w:t xml:space="preserve">Rules:</w:t>
      </w:r>
      <w:r>
        <w:t xml:space="preserve"> reviewer records finding + recommendation (</w:t>
      </w:r>
      <w:r>
        <w:rPr>
          <w:rStyle w:val="CodeChar"/>
        </w:rPr>
        <w:t xml:space="preserve">RECOMMEND_APPROVAL</w:t>
      </w:r>
      <w:r>
        <w:t xml:space="preserve">, </w:t>
      </w:r>
      <w:r>
        <w:rPr>
          <w:rStyle w:val="CodeChar"/>
        </w:rPr>
        <w:t xml:space="preserve">RECOMMEND_REFUSAL</w:t>
      </w:r>
      <w:r>
        <w:t xml:space="preserve">, </w:t>
      </w:r>
      <w:r>
        <w:rPr>
          <w:rStyle w:val="CodeChar"/>
        </w:rPr>
        <w:t xml:space="preserve">RETURN_FOR_INFORMATION</w:t>
      </w:r>
      <w:r>
        <w:t xml:space="preserve">) → </w:t>
      </w:r>
      <w:r>
        <w:rPr>
          <w:rStyle w:val="CodeChar"/>
        </w:rPr>
        <w:t xml:space="preserve">PENDING_DECISION</w:t>
      </w:r>
      <w:r>
        <w:t xml:space="preserve">. Decision authority records </w:t>
      </w:r>
      <w:r>
        <w:rPr>
          <w:rStyle w:val="CodeChar"/>
        </w:rPr>
        <w:t xml:space="preserve">APPROVED</w:t>
      </w:r>
      <w:r>
        <w:t xml:space="preserve"> or </w:t>
      </w:r>
      <w:r>
        <w:rPr>
          <w:rStyle w:val="CodeChar"/>
        </w:rPr>
        <w:t xml:space="preserve">REFUSED</w:t>
      </w:r>
      <w:r>
        <w:t xml:space="preserve"> with grounds and cited document versions; must differ from the reviewer; decision rows are insert-only and carry </w:t>
      </w:r>
      <w:r>
        <w:rPr>
          <w:rStyle w:val="CodeChar"/>
        </w:rPr>
        <w:t xml:space="preserve">simulated = true</w:t>
      </w:r>
      <w:r>
        <w:t xml:space="preserve">. Decision authority may return the case to </w:t>
      </w:r>
      <w:r>
        <w:rPr>
          <w:rStyle w:val="CodeChar"/>
        </w:rPr>
        <w:t xml:space="preserve">UNDER_REVIEW</w:t>
      </w:r>
      <w:r>
        <w:t xml:space="preserve">.</w:t>
      </w:r>
    </w:p>
    <w:p>
      <w:pPr>
        <w:pStyle w:val="ListParagraph"/>
        <w:numPr>
          <w:ilvl w:val="0"/>
          <w:numId w:val="14"/>
        </w:numPr>
      </w:pPr>
      <w:r>
        <w:rPr>
          <w:b/>
        </w:rPr>
        <w:t xml:space="preserve">Acceptance:</w:t>
      </w:r>
      <w:r>
        <w:t xml:space="preserve"> decision without grounds → </w:t>
      </w:r>
      <w:r>
        <w:rPr>
          <w:rStyle w:val="CodeChar"/>
        </w:rPr>
        <w:t xml:space="preserve">422</w:t>
      </w:r>
      <w:r>
        <w:t xml:space="preserve">; reviewer recording a decision → </w:t>
      </w:r>
      <w:r>
        <w:rPr>
          <w:rStyle w:val="CodeChar"/>
        </w:rPr>
        <w:t xml:space="preserve">403</w:t>
      </w:r>
      <w:r>
        <w:t xml:space="preserve">; decision on an </w:t>
      </w:r>
      <w:r>
        <w:rPr>
          <w:rStyle w:val="CodeChar"/>
        </w:rPr>
        <w:t xml:space="preserve">INFO_REQUESTED</w:t>
      </w:r>
      <w:r>
        <w:t xml:space="preserve"> case → </w:t>
      </w:r>
      <w:r>
        <w:rPr>
          <w:rStyle w:val="CodeChar"/>
        </w:rPr>
        <w:t xml:space="preserve">409</w:t>
      </w:r>
      <w:r>
        <w:t xml:space="preserve">; the UI and any printout state "Simulated decision — no legal effect".</w:t>
      </w:r>
    </w:p>
    <w:p>
      <w:pPr>
        <w:pStyle w:val="Heading3"/>
      </w:pPr>
      <w:r>
        <w:t xml:space="preserve">MVP-06 Tracking and reporting</w:t>
      </w:r>
    </w:p>
    <w:p>
      <w:pPr>
        <w:pStyle w:val="ListParagraph"/>
        <w:numPr>
          <w:ilvl w:val="0"/>
          <w:numId w:val="15"/>
        </w:numPr>
      </w:pPr>
      <w:r>
        <w:rPr>
          <w:b/>
        </w:rPr>
        <w:t xml:space="preserve">Applicant view:</w:t>
      </w:r>
      <w:r>
        <w:t xml:space="preserve"> current state, date entered, public-safe message, pending requests. Internal notes and reviewer identities are hidden.</w:t>
      </w:r>
    </w:p>
    <w:p>
      <w:pPr>
        <w:pStyle w:val="ListParagraph"/>
        <w:numPr>
          <w:ilvl w:val="0"/>
          <w:numId w:val="15"/>
        </w:numPr>
      </w:pPr>
      <w:r>
        <w:rPr>
          <w:b/>
        </w:rPr>
        <w:t xml:space="preserve">Back office:</w:t>
      </w:r>
      <w:r>
        <w:t xml:space="preserve"> queue by state and office, time in current stage, overdue flag against DEMO stage targets (for example 5 days for completeness), counts per state.</w:t>
      </w:r>
    </w:p>
    <w:p>
      <w:pPr>
        <w:pStyle w:val="ListParagraph"/>
        <w:numPr>
          <w:ilvl w:val="0"/>
          <w:numId w:val="15"/>
        </w:numPr>
      </w:pPr>
      <w:r>
        <w:rPr>
          <w:b/>
        </w:rPr>
        <w:t xml:space="preserve">Acceptance:</w:t>
      </w:r>
      <w:r>
        <w:t xml:space="preserve"> stage durations derive from the transition table, not edited fields; the applicant API response contains no internal fields (tested by schema).</w:t>
      </w:r>
    </w:p>
    <w:p>
      <w:pPr>
        <w:pStyle w:val="Heading3"/>
      </w:pPr>
      <w:r>
        <w:t xml:space="preserve">MVP-07 Audit trail</w:t>
      </w:r>
    </w:p>
    <w:p>
      <w:pPr>
        <w:pStyle w:val="ListParagraph"/>
        <w:numPr>
          <w:ilvl w:val="0"/>
          <w:numId w:val="16"/>
        </w:numPr>
      </w:pPr>
      <w:r>
        <w:rPr>
          <w:b/>
        </w:rPr>
        <w:t xml:space="preserve">Rules:</w:t>
      </w:r>
      <w:r>
        <w:t xml:space="preserve"> actor taken from the authenticated session, never the request body. Business change and its audit event commit in one transaction; denied attempts (403) are logged in their own transaction. The application database role can insert and read audit rows, never update or delete. Each row carries a SHA-256 hash chained to the previous row; the auditor's verify action recomputes the chain.</w:t>
      </w:r>
    </w:p>
    <w:p>
      <w:pPr>
        <w:pStyle w:val="ListParagraph"/>
        <w:numPr>
          <w:ilvl w:val="0"/>
          <w:numId w:val="16"/>
        </w:numPr>
      </w:pPr>
      <w:r>
        <w:rPr>
          <w:b/>
        </w:rPr>
        <w:t xml:space="preserve">Acceptance:</w:t>
      </w:r>
      <w:r>
        <w:t xml:space="preserve"> each action in the demo script yields its expected event; a manual </w:t>
      </w:r>
      <w:r>
        <w:rPr>
          <w:rStyle w:val="CodeChar"/>
        </w:rPr>
        <w:t xml:space="preserve">UPDATE</w:t>
      </w:r>
      <w:r>
        <w:t xml:space="preserve"> by the application role fails; a tampered row is detected by verify; a supervisor can reconstruct a case's timeline from audit alone.</w:t>
      </w:r>
    </w:p>
    <w:p>
      <w:pPr>
        <w:pStyle w:val="Heading3"/>
      </w:pPr>
      <w:r>
        <w:t xml:space="preserve">MVP-08 Paid-service workflow</w:t>
      </w:r>
    </w:p>
    <w:p>
      <w:pPr>
        <w:pStyle w:val="ListParagraph"/>
        <w:numPr>
          <w:ilvl w:val="0"/>
          <w:numId w:val="17"/>
        </w:numPr>
      </w:pPr>
      <w:r>
        <w:rPr>
          <w:b/>
        </w:rPr>
        <w:t xml:space="preserve">Rules:</w:t>
      </w:r>
      <w:r>
        <w:t xml:space="preserve"> fee schedule rows have amount (XAF, integer), effective dates and the label "DEMO platform service charge — not an official administrative fee". Submission creates a payment request with a unique payment reference. A simulated provider posts signed (HMAC) callbacks; each provider transaction id is processed once. Reconciliation matches callback to request by reference and amount.</w:t>
      </w:r>
    </w:p>
    <w:p>
      <w:pPr>
        <w:pStyle w:val="ListParagraph"/>
        <w:numPr>
          <w:ilvl w:val="0"/>
          <w:numId w:val="17"/>
        </w:numPr>
      </w:pPr>
      <w:r>
        <w:rPr>
          <w:b/>
        </w:rPr>
        <w:t xml:space="preserve">Outcomes covered:</w:t>
      </w:r>
      <w:r>
        <w:t xml:space="preserve"> paid and matched; failed; pending then expired; duplicate callback (ignored, logged); unmatched reference; amount mismatch (exception for finance officer).</w:t>
      </w:r>
    </w:p>
    <w:p>
      <w:pPr>
        <w:pStyle w:val="ListParagraph"/>
        <w:numPr>
          <w:ilvl w:val="0"/>
          <w:numId w:val="17"/>
        </w:numPr>
      </w:pPr>
      <w:r>
        <w:rPr>
          <w:b/>
        </w:rPr>
        <w:t xml:space="preserve">Acceptance:</w:t>
      </w:r>
      <w:r>
        <w:t xml:space="preserve"> each outcome above is a passing test; no real payment API is called in any profile.</w:t>
      </w:r>
    </w:p>
    <w:p>
      <w:pPr>
        <w:pStyle w:val="Heading2"/>
      </w:pPr>
      <w:r>
        <w:t xml:space="preserve">D. Initial domain model</w:t>
      </w:r>
    </w:p>
    <w:p>
      <w:pPr/>
      <w:r>
        <w:t xml:space="preserve">Seventeen business tables cover the MVP; history is kept by append-only version and transition tables rather than by updating rows in place. All primary keys are UUIDv7 (time-ordered, not guessable); human-facing references are separate unique columns.</w:t>
      </w:r>
    </w:p>
    <w:p>
      <w:pPr>
        <w:pStyle w:val="Heading3"/>
      </w:pPr>
      <w:r>
        <w:t xml:space="preserve">Entities built in the MVP</w:t>
      </w:r>
    </w:p>
    <w:tbl>
      <w:tblPr>
        <w:tblStyle w:val="TableGrid"/>
        <w:tblW w:w="0" w:type="auto"/>
        <w:tblLayout w:type="fixed"/>
        <w:tblLook w:val="04A0" w:firstRow="1" w:lastRow="0" w:firstColumn="0" w:lastColumn="0" w:noHBand="0" w:noVBand="1"/>
      </w:tblPr>
      <w:tblGrid>
        <w:gridCol w:w="1385"/>
        <w:gridCol w:w="2340"/>
        <w:gridCol w:w="2270"/>
        <w:gridCol w:w="3365"/>
      </w:tblGrid>
      <w:tr>
        <w:trPr>
          <w:tblHeader/>
        </w:trPr>
        <w:tc>
          <w:tcPr>
            <w:tcW w:w="1385" w:type="dxa"/>
            <w:shd w:val="clear" w:color="auto" w:fill="F2F2F2"/>
          </w:tcPr>
          <w:p>
            <w:pPr/>
            <w:r>
              <w:t xml:space="preserve">Module</w:t>
            </w:r>
          </w:p>
        </w:tc>
        <w:tc>
          <w:tcPr>
            <w:tcW w:w="2340" w:type="dxa"/>
            <w:shd w:val="clear" w:color="auto" w:fill="F2F2F2"/>
          </w:tcPr>
          <w:p>
            <w:pPr/>
            <w:r>
              <w:t xml:space="preserve">Table</w:t>
            </w:r>
          </w:p>
        </w:tc>
        <w:tc>
          <w:tcPr>
            <w:tcW w:w="2270" w:type="dxa"/>
            <w:shd w:val="clear" w:color="auto" w:fill="F2F2F2"/>
          </w:tcPr>
          <w:p>
            <w:pPr/>
            <w:r>
              <w:t xml:space="preserve">Purpose</w:t>
            </w:r>
          </w:p>
        </w:tc>
        <w:tc>
          <w:tcPr>
            <w:tcW w:w="3365" w:type="dxa"/>
            <w:shd w:val="clear" w:color="auto" w:fill="F2F2F2"/>
          </w:tcPr>
          <w:p>
            <w:pPr/>
            <w:r>
              <w:t xml:space="preserve">Key constraints</w:t>
            </w:r>
          </w:p>
        </w:tc>
      </w:tr>
      <w:tr>
        <w:tc>
          <w:tcPr>
            <w:tcW w:w="1385" w:type="dxa"/>
          </w:tcPr>
          <w:p>
            <w:pPr/>
            <w:r>
              <w:t xml:space="preserve">identity</w:t>
            </w:r>
          </w:p>
        </w:tc>
        <w:tc>
          <w:tcPr>
            <w:tcW w:w="2340" w:type="dxa"/>
          </w:tcPr>
          <w:p>
            <w:pPr/>
            <w:r>
              <w:rPr>
                <w:rStyle w:val="CodeChar"/>
              </w:rPr>
              <w:t xml:space="preserve">office</w:t>
            </w:r>
          </w:p>
        </w:tc>
        <w:tc>
          <w:tcPr>
            <w:tcW w:w="2270" w:type="dxa"/>
          </w:tcPr>
          <w:p>
            <w:pPr/>
            <w:r>
              <w:t xml:space="preserve">Organisational unit (DEMO offices)</w:t>
            </w:r>
          </w:p>
        </w:tc>
        <w:tc>
          <w:tcPr>
            <w:tcW w:w="3365" w:type="dxa"/>
          </w:tcPr>
          <w:p>
            <w:pPr/>
            <w:r>
              <w:t xml:space="preserve">unique </w:t>
            </w:r>
            <w:r>
              <w:rPr>
                <w:rStyle w:val="CodeChar"/>
              </w:rPr>
              <w:t xml:space="preserve">code</w:t>
            </w:r>
          </w:p>
        </w:tc>
      </w:tr>
      <w:tr>
        <w:tc>
          <w:tcPr>
            <w:tcW w:w="1385" w:type="dxa"/>
          </w:tcPr>
          <w:p>
            <w:pPr/>
            <w:r>
              <w:t xml:space="preserve">identity</w:t>
            </w:r>
          </w:p>
        </w:tc>
        <w:tc>
          <w:tcPr>
            <w:tcW w:w="2340" w:type="dxa"/>
          </w:tcPr>
          <w:p>
            <w:pPr/>
            <w:r>
              <w:rPr>
                <w:rStyle w:val="CodeChar"/>
              </w:rPr>
              <w:t xml:space="preserve">app_user</w:t>
            </w:r>
          </w:p>
        </w:tc>
        <w:tc>
          <w:tcPr>
            <w:tcW w:w="2270" w:type="dxa"/>
          </w:tcPr>
          <w:p>
            <w:pPr/>
            <w:r>
              <w:t xml:space="preserve">Account; Argon2id hash; MFA secret encrypted</w:t>
            </w:r>
          </w:p>
        </w:tc>
        <w:tc>
          <w:tcPr>
            <w:tcW w:w="3365" w:type="dxa"/>
          </w:tcPr>
          <w:p>
            <w:pPr/>
            <w:r>
              <w:t xml:space="preserve">unique lower(</w:t>
            </w:r>
            <w:r>
              <w:rPr>
                <w:rStyle w:val="CodeChar"/>
              </w:rPr>
              <w:t xml:space="preserve">email</w:t>
            </w:r>
            <w:r>
              <w:t xml:space="preserve">); </w:t>
            </w:r>
            <w:r>
              <w:rPr>
                <w:rStyle w:val="CodeChar"/>
              </w:rPr>
              <w:t xml:space="preserve">enabled</w:t>
            </w:r>
          </w:p>
        </w:tc>
      </w:tr>
      <w:tr>
        <w:tc>
          <w:tcPr>
            <w:tcW w:w="1385" w:type="dxa"/>
          </w:tcPr>
          <w:p>
            <w:pPr/>
            <w:r>
              <w:t xml:space="preserve">identity</w:t>
            </w:r>
          </w:p>
        </w:tc>
        <w:tc>
          <w:tcPr>
            <w:tcW w:w="2340" w:type="dxa"/>
          </w:tcPr>
          <w:p>
            <w:pPr/>
            <w:r>
              <w:rPr>
                <w:rStyle w:val="CodeChar"/>
              </w:rPr>
              <w:t xml:space="preserve">role_assignment</w:t>
            </w:r>
          </w:p>
        </w:tc>
        <w:tc>
          <w:tcPr>
            <w:tcW w:w="2270" w:type="dxa"/>
          </w:tcPr>
          <w:p>
            <w:pPr/>
            <w:r>
              <w:t xml:space="preserve">User × role × office, with granted_by and dates</w:t>
            </w:r>
          </w:p>
        </w:tc>
        <w:tc>
          <w:tcPr>
            <w:tcW w:w="3365" w:type="dxa"/>
          </w:tcPr>
          <w:p>
            <w:pPr/>
            <w:r>
              <w:rPr>
                <w:rStyle w:val="CodeChar"/>
              </w:rPr>
              <w:t xml:space="preserve">granted_by &lt;&gt; user_id</w:t>
            </w:r>
            <w:r>
              <w:t xml:space="preserve"> check; unique active (user, role, office)</w:t>
            </w:r>
          </w:p>
        </w:tc>
      </w:tr>
      <w:tr>
        <w:tc>
          <w:tcPr>
            <w:tcW w:w="1385" w:type="dxa"/>
          </w:tcPr>
          <w:p>
            <w:pPr/>
            <w:r>
              <w:t xml:space="preserve">parcel</w:t>
            </w:r>
          </w:p>
        </w:tc>
        <w:tc>
          <w:tcPr>
            <w:tcW w:w="2340" w:type="dxa"/>
          </w:tcPr>
          <w:p>
            <w:pPr/>
            <w:r>
              <w:rPr>
                <w:rStyle w:val="CodeChar"/>
              </w:rPr>
              <w:t xml:space="preserve">parcel</w:t>
            </w:r>
          </w:p>
        </w:tc>
        <w:tc>
          <w:tcPr>
            <w:tcW w:w="2270" w:type="dxa"/>
          </w:tcPr>
          <w:p>
            <w:pPr/>
            <w:r>
              <w:t xml:space="preserve">Stable identity: reference, status, current version</w:t>
            </w:r>
          </w:p>
        </w:tc>
        <w:tc>
          <w:tcPr>
            <w:tcW w:w="3365" w:type="dxa"/>
          </w:tcPr>
          <w:p>
            <w:pPr/>
            <w:r>
              <w:t xml:space="preserve">unique </w:t>
            </w:r>
            <w:r>
              <w:rPr>
                <w:rStyle w:val="CodeChar"/>
              </w:rPr>
              <w:t xml:space="preserve">reference</w:t>
            </w:r>
            <w:r>
              <w:t xml:space="preserve">; status in (ACTIVE, SUPERSEDED, RETIRED); </w:t>
            </w:r>
            <w:r>
              <w:rPr>
                <w:rStyle w:val="CodeChar"/>
              </w:rPr>
              <w:t xml:space="preserve">version</w:t>
            </w:r>
            <w:r>
              <w:t xml:space="preserve"> for optimistic lock</w:t>
            </w:r>
          </w:p>
        </w:tc>
      </w:tr>
      <w:tr>
        <w:tc>
          <w:tcPr>
            <w:tcW w:w="1385" w:type="dxa"/>
          </w:tcPr>
          <w:p>
            <w:pPr/>
            <w:r>
              <w:t xml:space="preserve">parcel</w:t>
            </w:r>
          </w:p>
        </w:tc>
        <w:tc>
          <w:tcPr>
            <w:tcW w:w="2340" w:type="dxa"/>
          </w:tcPr>
          <w:p>
            <w:pPr/>
            <w:r>
              <w:rPr>
                <w:rStyle w:val="CodeChar"/>
              </w:rPr>
              <w:t xml:space="preserve">parcel_version</w:t>
            </w:r>
          </w:p>
        </w:tc>
        <w:tc>
          <w:tcPr>
            <w:tcW w:w="2270" w:type="dxa"/>
          </w:tcPr>
          <w:p>
            <w:pPr/>
            <w:r>
              <w:t xml:space="preserve">Append-only geometry and attributes per change</w:t>
            </w:r>
          </w:p>
        </w:tc>
        <w:tc>
          <w:tcPr>
            <w:tcW w:w="3365" w:type="dxa"/>
          </w:tcPr>
          <w:p>
            <w:pPr/>
            <w:r>
              <w:t xml:space="preserve">unique (parcel_id, version_no); </w:t>
            </w:r>
            <w:r>
              <w:rPr>
                <w:rStyle w:val="CodeChar"/>
              </w:rPr>
              <w:t xml:space="preserve">geom geometry(MultiPolygon,4326)</w:t>
            </w:r>
            <w:r>
              <w:t xml:space="preserve"> NOT NULL with </w:t>
            </w:r>
            <w:r>
              <w:rPr>
                <w:rStyle w:val="CodeChar"/>
              </w:rPr>
              <w:t xml:space="preserve">ST_IsValid</w:t>
            </w:r>
            <w:r>
              <w:t xml:space="preserve"> check; GiST index; </w:t>
            </w:r>
            <w:r>
              <w:rPr>
                <w:rStyle w:val="CodeChar"/>
              </w:rPr>
              <w:t xml:space="preserve">source_srid</w:t>
            </w:r>
            <w:r>
              <w:t xml:space="preserve">, </w:t>
            </w:r>
            <w:r>
              <w:rPr>
                <w:rStyle w:val="CodeChar"/>
              </w:rPr>
              <w:t xml:space="preserve">area_m2</w:t>
            </w:r>
            <w:r>
              <w:t xml:space="preserve">, </w:t>
            </w:r>
            <w:r>
              <w:rPr>
                <w:rStyle w:val="CodeChar"/>
              </w:rPr>
              <w:t xml:space="preserve">verification_status</w:t>
            </w:r>
            <w:r>
              <w:t xml:space="preserve">, </w:t>
            </w:r>
            <w:r>
              <w:rPr>
                <w:rStyle w:val="CodeChar"/>
              </w:rPr>
              <w:t xml:space="preserve">change_reason</w:t>
            </w:r>
            <w:r>
              <w:t xml:space="preserve">, </w:t>
            </w:r>
            <w:r>
              <w:rPr>
                <w:rStyle w:val="CodeChar"/>
              </w:rPr>
              <w:t xml:space="preserve">created_by</w:t>
            </w:r>
          </w:p>
        </w:tc>
      </w:tr>
      <w:tr>
        <w:tc>
          <w:tcPr>
            <w:tcW w:w="1385" w:type="dxa"/>
          </w:tcPr>
          <w:p>
            <w:pPr/>
            <w:r>
              <w:t xml:space="preserve">conflict</w:t>
            </w:r>
          </w:p>
        </w:tc>
        <w:tc>
          <w:tcPr>
            <w:tcW w:w="2340" w:type="dxa"/>
          </w:tcPr>
          <w:p>
            <w:pPr/>
            <w:r>
              <w:rPr>
                <w:rStyle w:val="CodeChar"/>
              </w:rPr>
              <w:t xml:space="preserve">conflict_alert</w:t>
            </w:r>
          </w:p>
        </w:tc>
        <w:tc>
          <w:tcPr>
            <w:tcW w:w="2270" w:type="dxa"/>
          </w:tcPr>
          <w:p>
            <w:pPr/>
            <w:r>
              <w:t xml:space="preserve">Overlap or duplicate signal between two parcel versions</w:t>
            </w:r>
          </w:p>
        </w:tc>
        <w:tc>
          <w:tcPr>
            <w:tcW w:w="3365" w:type="dxa"/>
          </w:tcPr>
          <w:p>
            <w:pPr/>
            <w:r>
              <w:rPr>
                <w:rStyle w:val="CodeChar"/>
              </w:rPr>
              <w:t xml:space="preserve">parcel_a_id &lt; parcel_b_id</w:t>
            </w:r>
            <w:r>
              <w:t xml:space="preserve">; partial unique index on (pair, type) where status is open; stores intersection metrics and geometry</w:t>
            </w:r>
          </w:p>
        </w:tc>
      </w:tr>
      <w:tr>
        <w:tc>
          <w:tcPr>
            <w:tcW w:w="1385" w:type="dxa"/>
          </w:tcPr>
          <w:p>
            <w:pPr/>
            <w:r>
              <w:t xml:space="preserve">application</w:t>
            </w:r>
          </w:p>
        </w:tc>
        <w:tc>
          <w:tcPr>
            <w:tcW w:w="2340" w:type="dxa"/>
          </w:tcPr>
          <w:p>
            <w:pPr/>
            <w:r>
              <w:rPr>
                <w:rStyle w:val="CodeChar"/>
              </w:rPr>
              <w:t xml:space="preserve">application_type</w:t>
            </w:r>
          </w:p>
        </w:tc>
        <w:tc>
          <w:tcPr>
            <w:tcW w:w="2270" w:type="dxa"/>
          </w:tcPr>
          <w:p>
            <w:pPr/>
            <w:r>
              <w:t xml:space="preserve">DEMO service catalogue, requirements as versioned JSON</w:t>
            </w:r>
          </w:p>
        </w:tc>
        <w:tc>
          <w:tcPr>
            <w:tcW w:w="3365" w:type="dxa"/>
          </w:tcPr>
          <w:p>
            <w:pPr/>
            <w:r>
              <w:t xml:space="preserve">unique </w:t>
            </w:r>
            <w:r>
              <w:rPr>
                <w:rStyle w:val="CodeChar"/>
              </w:rPr>
              <w:t xml:space="preserve">code</w:t>
            </w:r>
            <w:r>
              <w:t xml:space="preserve"> + </w:t>
            </w:r>
            <w:r>
              <w:rPr>
                <w:rStyle w:val="CodeChar"/>
              </w:rPr>
              <w:t xml:space="preserve">effective_from</w:t>
            </w:r>
          </w:p>
        </w:tc>
      </w:tr>
      <w:tr>
        <w:tc>
          <w:tcPr>
            <w:tcW w:w="1385" w:type="dxa"/>
          </w:tcPr>
          <w:p>
            <w:pPr/>
            <w:r>
              <w:t xml:space="preserve">application</w:t>
            </w:r>
          </w:p>
        </w:tc>
        <w:tc>
          <w:tcPr>
            <w:tcW w:w="2340" w:type="dxa"/>
          </w:tcPr>
          <w:p>
            <w:pPr/>
            <w:r>
              <w:rPr>
                <w:rStyle w:val="CodeChar"/>
              </w:rPr>
              <w:t xml:space="preserve">application</w:t>
            </w:r>
          </w:p>
        </w:tc>
        <w:tc>
          <w:tcPr>
            <w:tcW w:w="2270" w:type="dxa"/>
          </w:tcPr>
          <w:p>
            <w:pPr/>
            <w:r>
              <w:t xml:space="preserve">The request: applicant, parcel, type, state, office</w:t>
            </w:r>
          </w:p>
        </w:tc>
        <w:tc>
          <w:tcPr>
            <w:tcW w:w="3365" w:type="dxa"/>
          </w:tcPr>
          <w:p>
            <w:pPr/>
            <w:r>
              <w:t xml:space="preserve">unique </w:t>
            </w:r>
            <w:r>
              <w:rPr>
                <w:rStyle w:val="CodeChar"/>
              </w:rPr>
              <w:t xml:space="preserve">reference</w:t>
            </w:r>
            <w:r>
              <w:t xml:space="preserve"> (nullable until submit); state check constraint; </w:t>
            </w:r>
            <w:r>
              <w:rPr>
                <w:rStyle w:val="CodeChar"/>
              </w:rPr>
              <w:t xml:space="preserve">version</w:t>
            </w:r>
          </w:p>
        </w:tc>
      </w:tr>
      <w:tr>
        <w:tc>
          <w:tcPr>
            <w:tcW w:w="1385" w:type="dxa"/>
          </w:tcPr>
          <w:p>
            <w:pPr/>
            <w:r>
              <w:t xml:space="preserve">application</w:t>
            </w:r>
          </w:p>
        </w:tc>
        <w:tc>
          <w:tcPr>
            <w:tcW w:w="2340" w:type="dxa"/>
          </w:tcPr>
          <w:p>
            <w:pPr/>
            <w:r>
              <w:rPr>
                <w:rStyle w:val="CodeChar"/>
              </w:rPr>
              <w:t xml:space="preserve">application_transition</w:t>
            </w:r>
          </w:p>
        </w:tc>
        <w:tc>
          <w:tcPr>
            <w:tcW w:w="2270" w:type="dxa"/>
          </w:tcPr>
          <w:p>
            <w:pPr/>
            <w:r>
              <w:t xml:space="preserve">Every state change: from, to, actor, reason, time</w:t>
            </w:r>
          </w:p>
        </w:tc>
        <w:tc>
          <w:tcPr>
            <w:tcW w:w="3365" w:type="dxa"/>
          </w:tcPr>
          <w:p>
            <w:pPr/>
            <w:r>
              <w:t xml:space="preserve">append-only; FK to application</w:t>
            </w:r>
          </w:p>
        </w:tc>
      </w:tr>
      <w:tr>
        <w:tc>
          <w:tcPr>
            <w:tcW w:w="1385" w:type="dxa"/>
          </w:tcPr>
          <w:p>
            <w:pPr/>
            <w:r>
              <w:t xml:space="preserve">document</w:t>
            </w:r>
          </w:p>
        </w:tc>
        <w:tc>
          <w:tcPr>
            <w:tcW w:w="2340" w:type="dxa"/>
          </w:tcPr>
          <w:p>
            <w:pPr/>
            <w:r>
              <w:rPr>
                <w:rStyle w:val="CodeChar"/>
              </w:rPr>
              <w:t xml:space="preserve">document</w:t>
            </w:r>
          </w:p>
        </w:tc>
        <w:tc>
          <w:tcPr>
            <w:tcW w:w="2270" w:type="dxa"/>
          </w:tcPr>
          <w:p>
            <w:pPr/>
            <w:r>
              <w:t xml:space="preserve">Logical document: application, category</w:t>
            </w:r>
          </w:p>
        </w:tc>
        <w:tc>
          <w:tcPr>
            <w:tcW w:w="3365" w:type="dxa"/>
          </w:tcPr>
          <w:p>
            <w:pPr/>
            <w:r>
              <w:t xml:space="preserve">FK; category check</w:t>
            </w:r>
          </w:p>
        </w:tc>
      </w:tr>
      <w:tr>
        <w:tc>
          <w:tcPr>
            <w:tcW w:w="1385" w:type="dxa"/>
          </w:tcPr>
          <w:p>
            <w:pPr/>
            <w:r>
              <w:t xml:space="preserve">document</w:t>
            </w:r>
          </w:p>
        </w:tc>
        <w:tc>
          <w:tcPr>
            <w:tcW w:w="2340" w:type="dxa"/>
          </w:tcPr>
          <w:p>
            <w:pPr/>
            <w:r>
              <w:rPr>
                <w:rStyle w:val="CodeChar"/>
              </w:rPr>
              <w:t xml:space="preserve">document_version</w:t>
            </w:r>
          </w:p>
        </w:tc>
        <w:tc>
          <w:tcPr>
            <w:tcW w:w="2270" w:type="dxa"/>
          </w:tcPr>
          <w:p>
            <w:pPr/>
            <w:r>
              <w:t xml:space="preserve">Each uploaded file</w:t>
            </w:r>
          </w:p>
        </w:tc>
        <w:tc>
          <w:tcPr>
            <w:tcW w:w="3365" w:type="dxa"/>
          </w:tcPr>
          <w:p>
            <w:pPr/>
            <w:r>
              <w:t xml:space="preserve">storage key, SHA-256, size, detected MIME, status (PENDING, STORED, REJECTED); append-only</w:t>
            </w:r>
          </w:p>
        </w:tc>
      </w:tr>
      <w:tr>
        <w:tc>
          <w:tcPr>
            <w:tcW w:w="1385" w:type="dxa"/>
          </w:tcPr>
          <w:p>
            <w:pPr/>
            <w:r>
              <w:t xml:space="preserve">review</w:t>
            </w:r>
          </w:p>
        </w:tc>
        <w:tc>
          <w:tcPr>
            <w:tcW w:w="2340" w:type="dxa"/>
          </w:tcPr>
          <w:p>
            <w:pPr/>
            <w:r>
              <w:rPr>
                <w:rStyle w:val="CodeChar"/>
              </w:rPr>
              <w:t xml:space="preserve">review</w:t>
            </w:r>
          </w:p>
        </w:tc>
        <w:tc>
          <w:tcPr>
            <w:tcW w:w="2270" w:type="dxa"/>
          </w:tcPr>
          <w:p>
            <w:pPr/>
            <w:r>
              <w:t xml:space="preserve">Completeness or substantive finding + recommendation</w:t>
            </w:r>
          </w:p>
        </w:tc>
        <w:tc>
          <w:tcPr>
            <w:tcW w:w="3365" w:type="dxa"/>
          </w:tcPr>
          <w:p>
            <w:pPr/>
            <w:r>
              <w:t xml:space="preserve">FK application; enum recommendation</w:t>
            </w:r>
          </w:p>
        </w:tc>
      </w:tr>
      <w:tr>
        <w:tc>
          <w:tcPr>
            <w:tcW w:w="1385" w:type="dxa"/>
          </w:tcPr>
          <w:p>
            <w:pPr/>
            <w:r>
              <w:t xml:space="preserve">review</w:t>
            </w:r>
          </w:p>
        </w:tc>
        <w:tc>
          <w:tcPr>
            <w:tcW w:w="2340" w:type="dxa"/>
          </w:tcPr>
          <w:p>
            <w:pPr/>
            <w:r>
              <w:rPr>
                <w:rStyle w:val="CodeChar"/>
              </w:rPr>
              <w:t xml:space="preserve">decision</w:t>
            </w:r>
          </w:p>
        </w:tc>
        <w:tc>
          <w:tcPr>
            <w:tcW w:w="2270" w:type="dxa"/>
          </w:tcPr>
          <w:p>
            <w:pPr/>
            <w:r>
              <w:t xml:space="preserve">Simulated authorized outcome</w:t>
            </w:r>
          </w:p>
        </w:tc>
        <w:tc>
          <w:tcPr>
            <w:tcW w:w="3365" w:type="dxa"/>
          </w:tcPr>
          <w:p>
            <w:pPr/>
            <w:r>
              <w:t xml:space="preserve">unique per application; </w:t>
            </w:r>
            <w:r>
              <w:rPr>
                <w:rStyle w:val="CodeChar"/>
              </w:rPr>
              <w:t xml:space="preserve">simulated</w:t>
            </w:r>
            <w:r>
              <w:t xml:space="preserve"> NOT NULL with check </w:t>
            </w:r>
            <w:r>
              <w:rPr>
                <w:rStyle w:val="CodeChar"/>
              </w:rPr>
              <w:t xml:space="preserve">= true</w:t>
            </w:r>
            <w:r>
              <w:t xml:space="preserve">; insert-only</w:t>
            </w:r>
          </w:p>
        </w:tc>
      </w:tr>
      <w:tr>
        <w:tc>
          <w:tcPr>
            <w:tcW w:w="1385" w:type="dxa"/>
          </w:tcPr>
          <w:p>
            <w:pPr/>
            <w:r>
              <w:t xml:space="preserve">payment</w:t>
            </w:r>
          </w:p>
        </w:tc>
        <w:tc>
          <w:tcPr>
            <w:tcW w:w="2340" w:type="dxa"/>
          </w:tcPr>
          <w:p>
            <w:pPr/>
            <w:r>
              <w:rPr>
                <w:rStyle w:val="CodeChar"/>
              </w:rPr>
              <w:t xml:space="preserve">fee_schedule</w:t>
            </w:r>
          </w:p>
        </w:tc>
        <w:tc>
          <w:tcPr>
            <w:tcW w:w="2270" w:type="dxa"/>
          </w:tcPr>
          <w:p>
            <w:pPr/>
            <w:r>
              <w:t xml:space="preserve">DEMO charge per service with effective dates</w:t>
            </w:r>
          </w:p>
        </w:tc>
        <w:tc>
          <w:tcPr>
            <w:tcW w:w="3365" w:type="dxa"/>
          </w:tcPr>
          <w:p>
            <w:pPr/>
            <w:r>
              <w:t xml:space="preserve">exclusion constraint: no overlapping date ranges per service</w:t>
            </w:r>
          </w:p>
        </w:tc>
      </w:tr>
      <w:tr>
        <w:tc>
          <w:tcPr>
            <w:tcW w:w="1385" w:type="dxa"/>
          </w:tcPr>
          <w:p>
            <w:pPr/>
            <w:r>
              <w:t xml:space="preserve">payment</w:t>
            </w:r>
          </w:p>
        </w:tc>
        <w:tc>
          <w:tcPr>
            <w:tcW w:w="2340" w:type="dxa"/>
          </w:tcPr>
          <w:p>
            <w:pPr/>
            <w:r>
              <w:rPr>
                <w:rStyle w:val="CodeChar"/>
              </w:rPr>
              <w:t xml:space="preserve">payment_request</w:t>
            </w:r>
            <w:r>
              <w:t xml:space="preserve"> / </w:t>
            </w:r>
            <w:r>
              <w:rPr>
                <w:rStyle w:val="CodeChar"/>
              </w:rPr>
              <w:t xml:space="preserve">payment_record</w:t>
            </w:r>
          </w:p>
        </w:tc>
        <w:tc>
          <w:tcPr>
            <w:tcW w:w="2270" w:type="dxa"/>
          </w:tcPr>
          <w:p>
            <w:pPr/>
            <w:r>
              <w:t xml:space="preserve">What is owed / what the channel reported</w:t>
            </w:r>
          </w:p>
        </w:tc>
        <w:tc>
          <w:tcPr>
            <w:tcW w:w="3365" w:type="dxa"/>
          </w:tcPr>
          <w:p>
            <w:pPr/>
            <w:r>
              <w:t xml:space="preserve">unique </w:t>
            </w:r>
            <w:r>
              <w:rPr>
                <w:rStyle w:val="CodeChar"/>
              </w:rPr>
              <w:t xml:space="preserve">payment_reference</w:t>
            </w:r>
            <w:r>
              <w:t xml:space="preserve">; unique (</w:t>
            </w:r>
            <w:r>
              <w:rPr>
                <w:rStyle w:val="CodeChar"/>
              </w:rPr>
              <w:t xml:space="preserve">provider</w:t>
            </w:r>
            <w:r>
              <w:t xml:space="preserve">, </w:t>
            </w:r>
            <w:r>
              <w:rPr>
                <w:rStyle w:val="CodeChar"/>
              </w:rPr>
              <w:t xml:space="preserve">provider_txn_id</w:t>
            </w:r>
            <w:r>
              <w:t xml:space="preserve">) on records</w:t>
            </w:r>
          </w:p>
        </w:tc>
      </w:tr>
      <w:tr>
        <w:tc>
          <w:tcPr>
            <w:tcW w:w="1385" w:type="dxa"/>
          </w:tcPr>
          <w:p>
            <w:pPr/>
            <w:r>
              <w:t xml:space="preserve">audit</w:t>
            </w:r>
          </w:p>
        </w:tc>
        <w:tc>
          <w:tcPr>
            <w:tcW w:w="2340" w:type="dxa"/>
          </w:tcPr>
          <w:p>
            <w:pPr/>
            <w:r>
              <w:rPr>
                <w:rStyle w:val="CodeChar"/>
              </w:rPr>
              <w:t xml:space="preserve">audit_event</w:t>
            </w:r>
          </w:p>
        </w:tc>
        <w:tc>
          <w:tcPr>
            <w:tcW w:w="2270" w:type="dxa"/>
          </w:tcPr>
          <w:p>
            <w:pPr/>
            <w:r>
              <w:t xml:space="preserve">Append-only, hash-chained log</w:t>
            </w:r>
          </w:p>
        </w:tc>
        <w:tc>
          <w:tcPr>
            <w:tcW w:w="3365" w:type="dxa"/>
          </w:tcPr>
          <w:p>
            <w:pPr/>
            <w:r>
              <w:t xml:space="preserve">no UPDATE/DELETE grant; trigger rejects both</w:t>
            </w:r>
          </w:p>
        </w:tc>
      </w:tr>
    </w:tbl>
    <w:p>
      <w:pPr>
        <w:pStyle w:val="Heading3"/>
      </w:pPr>
      <w:r>
        <w:t xml:space="preserve">Identifiers (DEMO formats)</w:t>
      </w:r>
    </w:p>
    <w:p>
      <w:pPr>
        <w:pStyle w:val="ListParagraph"/>
        <w:numPr>
          <w:ilvl w:val="0"/>
          <w:numId w:val="18"/>
        </w:numPr>
      </w:pPr>
      <w:r>
        <w:t xml:space="preserve">Parcel: </w:t>
      </w:r>
      <w:r>
        <w:rPr>
          <w:rStyle w:val="CodeChar"/>
        </w:rPr>
        <w:t xml:space="preserve">DEMO-PCL-{office}-{yyyy}-{seq6}-{check}</w:t>
      </w:r>
      <w:r>
        <w:t xml:space="preserve">, for example </w:t>
      </w:r>
      <w:r>
        <w:rPr>
          <w:rStyle w:val="CodeChar"/>
        </w:rPr>
        <w:t xml:space="preserve">DEMO-PCL-YDE1-2026-000042-K</w:t>
      </w:r>
      <w:r>
        <w:t xml:space="preserve">. The check character (ISO 7064 mod 37,36) catches mistyping. The real national scheme replaces this once defined; the column and uniqueness rule do not change.</w:t>
      </w:r>
    </w:p>
    <w:p>
      <w:pPr>
        <w:pStyle w:val="ListParagraph"/>
        <w:numPr>
          <w:ilvl w:val="0"/>
          <w:numId w:val="18"/>
        </w:numPr>
      </w:pPr>
      <w:r>
        <w:t xml:space="preserve">Application: </w:t>
      </w:r>
      <w:r>
        <w:rPr>
          <w:rStyle w:val="CodeChar"/>
        </w:rPr>
        <w:t xml:space="preserve">DEMO-APP-{yyyy}-{seq6}-{check}</w:t>
      </w:r>
      <w:r>
        <w:t xml:space="preserve">. Payment: </w:t>
      </w:r>
      <w:r>
        <w:rPr>
          <w:rStyle w:val="CodeChar"/>
        </w:rPr>
        <w:t xml:space="preserve">DEMO-PAY-{yyyy}-{seq8}-{check}</w:t>
      </w:r>
      <w:r>
        <w:t xml:space="preserve">.</w:t>
      </w:r>
    </w:p>
    <w:p>
      <w:pPr>
        <w:pStyle w:val="ListParagraph"/>
        <w:numPr>
          <w:ilvl w:val="0"/>
          <w:numId w:val="18"/>
        </w:numPr>
      </w:pPr>
      <w:r>
        <w:t xml:space="preserve">Sequences come from PostgreSQL sequences per prefix and year, so gaps are possible and acceptable; uniqueness is guaranteed by constraint, not by the generator.</w:t>
      </w:r>
    </w:p>
    <w:p>
      <w:pPr>
        <w:pStyle w:val="Heading3"/>
      </w:pPr>
      <w:r>
        <w:t xml:space="preserve">Spatial data strategy</w:t>
      </w:r>
    </w:p>
    <w:p>
      <w:pPr>
        <w:pStyle w:val="ListParagraph"/>
        <w:numPr>
          <w:ilvl w:val="0"/>
          <w:numId w:val="19"/>
        </w:numPr>
      </w:pPr>
      <w:r>
        <w:rPr>
          <w:b/>
        </w:rPr>
        <w:t xml:space="preserve">Storage:</w:t>
      </w:r>
      <w:r>
        <w:t xml:space="preserve"> EPSG:4326, MultiPolygon only (single polygons promoted). The input SRID and a hash of the original GeoJSON are kept for provenance.</w:t>
      </w:r>
    </w:p>
    <w:p>
      <w:pPr>
        <w:pStyle w:val="ListParagraph"/>
        <w:numPr>
          <w:ilvl w:val="0"/>
          <w:numId w:val="19"/>
        </w:numPr>
      </w:pPr>
      <w:r>
        <w:rPr>
          <w:b/>
        </w:rPr>
        <w:t xml:space="preserve">Validation order:</w:t>
      </w:r>
      <w:r>
        <w:t xml:space="preserve"> parse → SRID present and supported → type check → </w:t>
      </w:r>
      <w:r>
        <w:rPr>
          <w:rStyle w:val="CodeChar"/>
        </w:rPr>
        <w:t xml:space="preserve">ST_IsValid</w:t>
      </w:r>
      <w:r>
        <w:t xml:space="preserve"> (reject with reason) → non-empty, area &gt; 0 → transform → re-check validity after transform.</w:t>
      </w:r>
    </w:p>
    <w:p>
      <w:pPr>
        <w:pStyle w:val="ListParagraph"/>
        <w:numPr>
          <w:ilvl w:val="0"/>
          <w:numId w:val="19"/>
        </w:numPr>
      </w:pPr>
      <w:r>
        <w:rPr>
          <w:b/>
        </w:rPr>
        <w:t xml:space="preserve">Precision:</w:t>
      </w:r>
      <w:r>
        <w:t xml:space="preserve"> coordinates snapped to 1e-7 degrees (about 1 cm) with </w:t>
      </w:r>
      <w:r>
        <w:rPr>
          <w:rStyle w:val="CodeChar"/>
        </w:rPr>
        <w:t xml:space="preserve">ST_ReducePrecision</w:t>
      </w:r>
      <w:r>
        <w:t xml:space="preserve"> before storage, so tests are deterministic.</w:t>
      </w:r>
    </w:p>
    <w:p>
      <w:pPr>
        <w:pStyle w:val="ListParagraph"/>
        <w:numPr>
          <w:ilvl w:val="0"/>
          <w:numId w:val="19"/>
        </w:numPr>
      </w:pPr>
      <w:r>
        <w:rPr>
          <w:b/>
        </w:rPr>
        <w:t xml:space="preserve">Area and overlap metrics:</w:t>
      </w:r>
      <w:r>
        <w:t xml:space="preserve"> computed as </w:t>
      </w:r>
      <w:r>
        <w:rPr>
          <w:rStyle w:val="CodeChar"/>
        </w:rPr>
        <w:t xml:space="preserve">ST_Area(geography)</w:t>
      </w:r>
      <w:r>
        <w:t xml:space="preserve"> on the spheroid, in m², which avoids choosing between UTM 32N and 33N for parcels near the zone boundary.</w:t>
      </w:r>
    </w:p>
    <w:p>
      <w:pPr>
        <w:pStyle w:val="ListParagraph"/>
        <w:numPr>
          <w:ilvl w:val="0"/>
          <w:numId w:val="19"/>
        </w:numPr>
      </w:pPr>
      <w:r>
        <w:rPr>
          <w:b/>
        </w:rPr>
        <w:t xml:space="preserve">Candidate search:</w:t>
      </w:r>
      <w:r>
        <w:t xml:space="preserve"> </w:t>
      </w:r>
      <w:r>
        <w:rPr>
          <w:rStyle w:val="CodeChar"/>
        </w:rPr>
        <w:t xml:space="preserve">ST_Intersects</w:t>
      </w:r>
      <w:r>
        <w:t xml:space="preserve"> on the GiST index first, then the exact </w:t>
      </w:r>
      <w:r>
        <w:rPr>
          <w:rStyle w:val="CodeChar"/>
        </w:rPr>
        <w:t xml:space="preserve">ST_Relate</w:t>
      </w:r>
      <w:r>
        <w:t xml:space="preserve"> and area test on candidates only.</w:t>
      </w:r>
    </w:p>
    <w:p>
      <w:pPr>
        <w:pStyle w:val="ListParagraph"/>
        <w:numPr>
          <w:ilvl w:val="0"/>
          <w:numId w:val="19"/>
        </w:numPr>
      </w:pPr>
      <w:r>
        <w:rPr>
          <w:b/>
        </w:rPr>
        <w:t xml:space="preserve">History:</w:t>
      </w:r>
      <w:r>
        <w:t xml:space="preserve"> geometry is never updated; a correction is a new </w:t>
      </w:r>
      <w:r>
        <w:rPr>
          <w:rStyle w:val="CodeChar"/>
        </w:rPr>
        <w:t xml:space="preserve">parcel_version</w:t>
      </w:r>
      <w:r>
        <w:t xml:space="preserve">. A future </w:t>
      </w:r>
      <w:r>
        <w:rPr>
          <w:rStyle w:val="CodeChar"/>
        </w:rPr>
        <w:t xml:space="preserve">parcel_lineage</w:t>
      </w:r>
      <w:r>
        <w:t xml:space="preserve"> table (parent, child, kind) represents subdivision and merger without touching existing rows.</w:t>
      </w:r>
    </w:p>
    <w:p>
      <w:pPr>
        <w:pStyle w:val="ListParagraph"/>
        <w:numPr>
          <w:ilvl w:val="0"/>
          <w:numId w:val="19"/>
        </w:numPr>
      </w:pPr>
      <w:r>
        <w:rPr>
          <w:b/>
        </w:rPr>
        <w:t xml:space="preserve">Test fixtures:</w:t>
      </w:r>
      <w:r>
        <w:t xml:space="preserve"> eight synthetic parcels near a fictional locality with known outcomes: clean, touching edge, touching corner, 0.5 m² sliver (below threshold), 30% overlap, 98% duplicate, self-intersecting (invalid), and a UTM 33N copy of a 4326 parcel.</w:t>
      </w:r>
    </w:p>
    <w:p>
      <w:pPr>
        <w:pStyle w:val="Heading3"/>
      </w:pPr>
      <w:r>
        <w:t xml:space="preserve">Audit model</w:t>
      </w:r>
    </w:p>
    <w:p>
      <w:pPr>
        <w:pStyle w:val="ListParagraph"/>
        <w:numPr>
          <w:ilvl w:val="0"/>
          <w:numId w:val="20"/>
        </w:numPr>
      </w:pPr>
      <w:r>
        <w:t xml:space="preserve">Columns: </w:t>
      </w:r>
      <w:r>
        <w:rPr>
          <w:rStyle w:val="CodeChar"/>
        </w:rPr>
        <w:t xml:space="preserve">id</w:t>
      </w:r>
      <w:r>
        <w:t xml:space="preserve">, </w:t>
      </w:r>
      <w:r>
        <w:rPr>
          <w:rStyle w:val="CodeChar"/>
        </w:rPr>
        <w:t xml:space="preserve">seq</w:t>
      </w:r>
      <w:r>
        <w:t xml:space="preserve"> (bigserial), </w:t>
      </w:r>
      <w:r>
        <w:rPr>
          <w:rStyle w:val="CodeChar"/>
        </w:rPr>
        <w:t xml:space="preserve">occurred_at</w:t>
      </w:r>
      <w:r>
        <w:t xml:space="preserve"> (database clock), </w:t>
      </w:r>
      <w:r>
        <w:rPr>
          <w:rStyle w:val="CodeChar"/>
        </w:rPr>
        <w:t xml:space="preserve">actor_type</w:t>
      </w:r>
      <w:r>
        <w:t xml:space="preserve"> (USER or SERVICE), </w:t>
      </w:r>
      <w:r>
        <w:rPr>
          <w:rStyle w:val="CodeChar"/>
        </w:rPr>
        <w:t xml:space="preserve">actor_id</w:t>
      </w:r>
      <w:r>
        <w:t xml:space="preserve">, </w:t>
      </w:r>
      <w:r>
        <w:rPr>
          <w:rStyle w:val="CodeChar"/>
        </w:rPr>
        <w:t xml:space="preserve">actor_roles</w:t>
      </w:r>
      <w:r>
        <w:t xml:space="preserve">, </w:t>
      </w:r>
      <w:r>
        <w:rPr>
          <w:rStyle w:val="CodeChar"/>
        </w:rPr>
        <w:t xml:space="preserve">action</w:t>
      </w:r>
      <w:r>
        <w:t xml:space="preserve">, </w:t>
      </w:r>
      <w:r>
        <w:rPr>
          <w:rStyle w:val="CodeChar"/>
        </w:rPr>
        <w:t xml:space="preserve">entity_type</w:t>
      </w:r>
      <w:r>
        <w:t xml:space="preserve">, </w:t>
      </w:r>
      <w:r>
        <w:rPr>
          <w:rStyle w:val="CodeChar"/>
        </w:rPr>
        <w:t xml:space="preserve">entity_id</w:t>
      </w:r>
      <w:r>
        <w:t xml:space="preserve">, </w:t>
      </w:r>
      <w:r>
        <w:rPr>
          <w:rStyle w:val="CodeChar"/>
        </w:rPr>
        <w:t xml:space="preserve">outcome</w:t>
      </w:r>
      <w:r>
        <w:t xml:space="preserve"> (SUCCESS, DENIED, FAILED), </w:t>
      </w:r>
      <w:r>
        <w:rPr>
          <w:rStyle w:val="CodeChar"/>
        </w:rPr>
        <w:t xml:space="preserve">reason</w:t>
      </w:r>
      <w:r>
        <w:t xml:space="preserve">, </w:t>
      </w:r>
      <w:r>
        <w:rPr>
          <w:rStyle w:val="CodeChar"/>
        </w:rPr>
        <w:t xml:space="preserve">correlation_id</w:t>
      </w:r>
      <w:r>
        <w:t xml:space="preserve">, </w:t>
      </w:r>
      <w:r>
        <w:rPr>
          <w:rStyle w:val="CodeChar"/>
        </w:rPr>
        <w:t xml:space="preserve">details</w:t>
      </w:r>
      <w:r>
        <w:t xml:space="preserve"> (JSON, no document contents or passwords), </w:t>
      </w:r>
      <w:r>
        <w:rPr>
          <w:rStyle w:val="CodeChar"/>
        </w:rPr>
        <w:t xml:space="preserve">prev_hash</w:t>
      </w:r>
      <w:r>
        <w:t xml:space="preserve">, </w:t>
      </w:r>
      <w:r>
        <w:rPr>
          <w:rStyle w:val="CodeChar"/>
        </w:rPr>
        <w:t xml:space="preserve">hash</w:t>
      </w:r>
      <w:r>
        <w:t xml:space="preserve">.</w:t>
      </w:r>
    </w:p>
    <w:p>
      <w:pPr>
        <w:pStyle w:val="ListParagraph"/>
        <w:numPr>
          <w:ilvl w:val="0"/>
          <w:numId w:val="20"/>
        </w:numPr>
      </w:pPr>
      <w:r>
        <w:rPr>
          <w:rStyle w:val="CodeChar"/>
        </w:rPr>
        <w:t xml:space="preserve">hash = SHA-256(prev_hash || canonical row)</w:t>
      </w:r>
      <w:r>
        <w:t xml:space="preserve">, computed in a BEFORE INSERT trigger under a transaction-scoped advisory lock. This serialises audit writes, acceptable at MVP volume.</w:t>
      </w:r>
    </w:p>
    <w:p>
      <w:pPr>
        <w:pStyle w:val="ListParagraph"/>
        <w:numPr>
          <w:ilvl w:val="0"/>
          <w:numId w:val="20"/>
        </w:numPr>
      </w:pPr>
      <w:r>
        <w:t xml:space="preserve">The head hash is exported daily to a location the database administrator cannot write (DEMO: a signed file sent to the auditor), so a full rewrite by a superuser is detectable.</w:t>
      </w:r>
    </w:p>
    <w:p>
      <w:pPr>
        <w:pStyle w:val="ListParagraph"/>
        <w:numPr>
          <w:ilvl w:val="0"/>
          <w:numId w:val="20"/>
        </w:numPr>
      </w:pPr>
      <w:r>
        <w:t xml:space="preserve">Three database roles: </w:t>
      </w:r>
      <w:r>
        <w:rPr>
          <w:rStyle w:val="CodeChar"/>
        </w:rPr>
        <w:t xml:space="preserve">snigf_migrator</w:t>
      </w:r>
      <w:r>
        <w:t xml:space="preserve"> owns the schema, </w:t>
      </w:r>
      <w:r>
        <w:rPr>
          <w:rStyle w:val="CodeChar"/>
        </w:rPr>
        <w:t xml:space="preserve">snigf_app</w:t>
      </w:r>
      <w:r>
        <w:t xml:space="preserve"> has least privilege (no DDL, no audit update or delete), </w:t>
      </w:r>
      <w:r>
        <w:rPr>
          <w:rStyle w:val="CodeChar"/>
        </w:rPr>
        <w:t xml:space="preserve">snigf_auditor</w:t>
      </w:r>
      <w:r>
        <w:t xml:space="preserve"> is read-only.</w:t>
      </w:r>
    </w:p>
    <w:p>
      <w:pPr>
        <w:pStyle w:val="Heading3"/>
      </w:pPr>
      <w:r>
        <w:t xml:space="preserve">Extension points, not built</w:t>
      </w:r>
    </w:p>
    <w:tbl>
      <w:tblPr>
        <w:tblStyle w:val="TableGrid"/>
        <w:tblW w:w="0" w:type="auto"/>
        <w:tblLayout w:type="fixed"/>
        <w:tblLook w:val="04A0" w:firstRow="1" w:lastRow="0" w:firstColumn="0" w:lastColumn="0" w:noHBand="0" w:noVBand="1"/>
      </w:tblPr>
      <w:tblGrid>
        <w:gridCol w:w="4053"/>
        <w:gridCol w:w="2277"/>
        <w:gridCol w:w="3028"/>
      </w:tblGrid>
      <w:tr>
        <w:trPr>
          <w:tblHeader/>
        </w:trPr>
        <w:tc>
          <w:tcPr>
            <w:tcW w:w="4053" w:type="dxa"/>
            <w:shd w:val="clear" w:color="auto" w:fill="F2F2F2"/>
          </w:tcPr>
          <w:p>
            <w:pPr/>
            <w:r>
              <w:t xml:space="preserve">Future entity</w:t>
            </w:r>
          </w:p>
        </w:tc>
        <w:tc>
          <w:tcPr>
            <w:tcW w:w="2277" w:type="dxa"/>
            <w:shd w:val="clear" w:color="auto" w:fill="F2F2F2"/>
          </w:tcPr>
          <w:p>
            <w:pPr/>
            <w:r>
              <w:t xml:space="preserve">Attaches to</w:t>
            </w:r>
          </w:p>
        </w:tc>
        <w:tc>
          <w:tcPr>
            <w:tcW w:w="3028" w:type="dxa"/>
            <w:shd w:val="clear" w:color="auto" w:fill="F2F2F2"/>
          </w:tcPr>
          <w:p>
            <w:pPr/>
            <w:r>
              <w:t xml:space="preserve">Domain</w:t>
            </w:r>
          </w:p>
        </w:tc>
      </w:tr>
      <w:tr>
        <w:tc>
          <w:tcPr>
            <w:tcW w:w="4053" w:type="dxa"/>
          </w:tcPr>
          <w:p>
            <w:pPr/>
            <w:r>
              <w:rPr>
                <w:rStyle w:val="CodeChar"/>
              </w:rPr>
              <w:t xml:space="preserve">party</w:t>
            </w:r>
            <w:r>
              <w:t xml:space="preserve">, </w:t>
            </w:r>
            <w:r>
              <w:rPr>
                <w:rStyle w:val="CodeChar"/>
              </w:rPr>
              <w:t xml:space="preserve">claim</w:t>
            </w:r>
          </w:p>
        </w:tc>
        <w:tc>
          <w:tcPr>
            <w:tcW w:w="2277" w:type="dxa"/>
          </w:tcPr>
          <w:p>
            <w:pPr/>
            <w:r>
              <w:t xml:space="preserve">parcel, application</w:t>
            </w:r>
          </w:p>
        </w:tc>
        <w:tc>
          <w:tcPr>
            <w:tcW w:w="3028" w:type="dxa"/>
          </w:tcPr>
          <w:p>
            <w:pPr/>
            <w:r>
              <w:t xml:space="preserve">G competing claims</w:t>
            </w:r>
          </w:p>
        </w:tc>
      </w:tr>
      <w:tr>
        <w:tc>
          <w:tcPr>
            <w:tcW w:w="4053" w:type="dxa"/>
          </w:tcPr>
          <w:p>
            <w:pPr/>
            <w:r>
              <w:rPr>
                <w:rStyle w:val="CodeChar"/>
              </w:rPr>
              <w:t xml:space="preserve">document_verification</w:t>
            </w:r>
          </w:p>
        </w:tc>
        <w:tc>
          <w:tcPr>
            <w:tcW w:w="2277" w:type="dxa"/>
          </w:tcPr>
          <w:p>
            <w:pPr/>
            <w:r>
              <w:t xml:space="preserve">document_version</w:t>
            </w:r>
          </w:p>
        </w:tc>
        <w:tc>
          <w:tcPr>
            <w:tcW w:w="3028" w:type="dxa"/>
          </w:tcPr>
          <w:p>
            <w:pPr/>
            <w:r>
              <w:t xml:space="preserve">D authenticity</w:t>
            </w:r>
          </w:p>
        </w:tc>
      </w:tr>
      <w:tr>
        <w:tc>
          <w:tcPr>
            <w:tcW w:w="4053" w:type="dxa"/>
          </w:tcPr>
          <w:p>
            <w:pPr/>
            <w:r>
              <w:rPr>
                <w:rStyle w:val="CodeChar"/>
              </w:rPr>
              <w:t xml:space="preserve">registered_right</w:t>
            </w:r>
            <w:r>
              <w:t xml:space="preserve">, </w:t>
            </w:r>
            <w:r>
              <w:rPr>
                <w:rStyle w:val="CodeChar"/>
              </w:rPr>
              <w:t xml:space="preserve">right_history</w:t>
            </w:r>
          </w:p>
        </w:tc>
        <w:tc>
          <w:tcPr>
            <w:tcW w:w="2277" w:type="dxa"/>
          </w:tcPr>
          <w:p>
            <w:pPr/>
            <w:r>
              <w:t xml:space="preserve">parcel, decision</w:t>
            </w:r>
          </w:p>
        </w:tc>
        <w:tc>
          <w:tcPr>
            <w:tcW w:w="3028" w:type="dxa"/>
          </w:tcPr>
          <w:p>
            <w:pPr/>
            <w:r>
              <w:t xml:space="preserve">H legal register</w:t>
            </w:r>
          </w:p>
        </w:tc>
      </w:tr>
      <w:tr>
        <w:tc>
          <w:tcPr>
            <w:tcW w:w="4053" w:type="dxa"/>
          </w:tcPr>
          <w:p>
            <w:pPr/>
            <w:r>
              <w:rPr>
                <w:rStyle w:val="CodeChar"/>
              </w:rPr>
              <w:t xml:space="preserve">parcel_lineage</w:t>
            </w:r>
          </w:p>
        </w:tc>
        <w:tc>
          <w:tcPr>
            <w:tcW w:w="2277" w:type="dxa"/>
          </w:tcPr>
          <w:p>
            <w:pPr/>
            <w:r>
              <w:t xml:space="preserve">parcel</w:t>
            </w:r>
          </w:p>
        </w:tc>
        <w:tc>
          <w:tcPr>
            <w:tcW w:w="3028" w:type="dxa"/>
          </w:tcPr>
          <w:p>
            <w:pPr/>
            <w:r>
              <w:t xml:space="preserve">C subdivision and merger</w:t>
            </w:r>
          </w:p>
        </w:tc>
      </w:tr>
      <w:tr>
        <w:tc>
          <w:tcPr>
            <w:tcW w:w="4053" w:type="dxa"/>
          </w:tcPr>
          <w:p>
            <w:pPr/>
            <w:r>
              <w:rPr>
                <w:rStyle w:val="CodeChar"/>
              </w:rPr>
              <w:t xml:space="preserve">public_notice</w:t>
            </w:r>
            <w:r>
              <w:t xml:space="preserve">, </w:t>
            </w:r>
            <w:r>
              <w:rPr>
                <w:rStyle w:val="CodeChar"/>
              </w:rPr>
              <w:t xml:space="preserve">objection</w:t>
            </w:r>
          </w:p>
        </w:tc>
        <w:tc>
          <w:tcPr>
            <w:tcW w:w="2277" w:type="dxa"/>
          </w:tcPr>
          <w:p>
            <w:pPr/>
            <w:r>
              <w:t xml:space="preserve">application</w:t>
            </w:r>
          </w:p>
        </w:tc>
        <w:tc>
          <w:tcPr>
            <w:tcW w:w="3028" w:type="dxa"/>
          </w:tcPr>
          <w:p>
            <w:pPr/>
            <w:r>
              <w:t xml:space="preserve">G</w:t>
            </w:r>
          </w:p>
        </w:tc>
      </w:tr>
      <w:tr>
        <w:tc>
          <w:tcPr>
            <w:tcW w:w="4053" w:type="dxa"/>
          </w:tcPr>
          <w:p>
            <w:pPr/>
            <w:r>
              <w:rPr>
                <w:rStyle w:val="CodeChar"/>
              </w:rPr>
              <w:t xml:space="preserve">field_inspection</w:t>
            </w:r>
          </w:p>
        </w:tc>
        <w:tc>
          <w:tcPr>
            <w:tcW w:w="2277" w:type="dxa"/>
          </w:tcPr>
          <w:p>
            <w:pPr/>
            <w:r>
              <w:t xml:space="preserve">parcel, application</w:t>
            </w:r>
          </w:p>
        </w:tc>
        <w:tc>
          <w:tcPr>
            <w:tcW w:w="3028" w:type="dxa"/>
          </w:tcPr>
          <w:p>
            <w:pPr/>
            <w:r>
              <w:t xml:space="preserve">F</w:t>
            </w:r>
          </w:p>
        </w:tc>
      </w:tr>
      <w:tr>
        <w:tc>
          <w:tcPr>
            <w:tcW w:w="4053" w:type="dxa"/>
          </w:tcPr>
          <w:p>
            <w:pPr/>
            <w:r>
              <w:rPr>
                <w:rStyle w:val="CodeChar"/>
              </w:rPr>
              <w:t xml:space="preserve">admin_area</w:t>
            </w:r>
            <w:r>
              <w:t xml:space="preserve"> (official geography)</w:t>
            </w:r>
          </w:p>
        </w:tc>
        <w:tc>
          <w:tcPr>
            <w:tcW w:w="2277" w:type="dxa"/>
          </w:tcPr>
          <w:p>
            <w:pPr/>
            <w:r>
              <w:t xml:space="preserve">parcel_version</w:t>
            </w:r>
          </w:p>
        </w:tc>
        <w:tc>
          <w:tcPr>
            <w:tcW w:w="3028" w:type="dxa"/>
          </w:tcPr>
          <w:p>
            <w:pPr/>
            <w:r>
              <w:t xml:space="preserve">C UC-037</w:t>
            </w:r>
          </w:p>
        </w:tc>
      </w:tr>
      <w:tr>
        <w:tc>
          <w:tcPr>
            <w:tcW w:w="4053" w:type="dxa"/>
          </w:tcPr>
          <w:p>
            <w:pPr/>
            <w:r>
              <w:rPr>
                <w:rStyle w:val="CodeChar"/>
              </w:rPr>
              <w:t xml:space="preserve">import_batch</w:t>
            </w:r>
            <w:r>
              <w:t xml:space="preserve">, </w:t>
            </w:r>
            <w:r>
              <w:rPr>
                <w:rStyle w:val="CodeChar"/>
              </w:rPr>
              <w:t xml:space="preserve">source_reference</w:t>
            </w:r>
          </w:p>
        </w:tc>
        <w:tc>
          <w:tcPr>
            <w:tcW w:w="2277" w:type="dxa"/>
          </w:tcPr>
          <w:p>
            <w:pPr/>
            <w:r>
              <w:t xml:space="preserve">parcel, document</w:t>
            </w:r>
          </w:p>
        </w:tc>
        <w:tc>
          <w:tcPr>
            <w:tcW w:w="3028" w:type="dxa"/>
          </w:tcPr>
          <w:p>
            <w:pPr/>
            <w:r>
              <w:t xml:space="preserve">P migration</w:t>
            </w:r>
          </w:p>
        </w:tc>
      </w:tr>
    </w:tbl>
    <w:p>
      <w:pPr>
        <w:pStyle w:val="Heading2"/>
      </w:pPr>
      <w:r>
        <w:t xml:space="preserve">E. Implementation backlog</w:t>
      </w:r>
    </w:p>
    <w:p>
      <w:pPr/>
      <w:r>
        <w:t xml:space="preserve">The first vertical slice is </w:t>
      </w:r>
      <w:r>
        <w:rPr>
          <w:b/>
        </w:rPr>
        <w:t xml:space="preserve">"a cadastral officer records a parcel, sees it on the map, and the action is audited"</w:t>
      </w:r>
      <w:r>
        <w:t xml:space="preserve"> (tasks E-01 to E-08). It touches every layer — login, permission check, PostGIS validation, migration, audit trigger, React map, tests — while staying small enough to review in one sitting. Overlap detection follows as slice 2 because it builds directly on stored geometry.</w:t>
      </w:r>
    </w:p>
    <w:tbl>
      <w:tblPr>
        <w:tblStyle w:val="TableGrid"/>
        <w:tblW w:w="0" w:type="auto"/>
        <w:tblLayout w:type="fixed"/>
        <w:tblLook w:val="04A0" w:firstRow="1" w:lastRow="0" w:firstColumn="0" w:lastColumn="0" w:noHBand="0" w:noVBand="1"/>
      </w:tblPr>
      <w:tblGrid>
        <w:gridCol w:w="720"/>
        <w:gridCol w:w="1740"/>
        <w:gridCol w:w="1423"/>
        <w:gridCol w:w="3297"/>
        <w:gridCol w:w="2180"/>
      </w:tblGrid>
      <w:tr>
        <w:trPr>
          <w:tblHeader/>
        </w:trPr>
        <w:tc>
          <w:tcPr>
            <w:tcW w:w="720" w:type="dxa"/>
            <w:shd w:val="clear" w:color="auto" w:fill="F2F2F2"/>
          </w:tcPr>
          <w:p>
            <w:pPr/>
            <w:r>
              <w:t xml:space="preserve">ID</w:t>
            </w:r>
          </w:p>
        </w:tc>
        <w:tc>
          <w:tcPr>
            <w:tcW w:w="1740" w:type="dxa"/>
            <w:shd w:val="clear" w:color="auto" w:fill="F2F2F2"/>
          </w:tcPr>
          <w:p>
            <w:pPr/>
            <w:r>
              <w:t xml:space="preserve">Task</w:t>
            </w:r>
          </w:p>
        </w:tc>
        <w:tc>
          <w:tcPr>
            <w:tcW w:w="1423" w:type="dxa"/>
            <w:shd w:val="clear" w:color="auto" w:fill="F2F2F2"/>
          </w:tcPr>
          <w:p>
            <w:pPr/>
            <w:r>
              <w:t xml:space="preserve">Depends on</w:t>
            </w:r>
          </w:p>
        </w:tc>
        <w:tc>
          <w:tcPr>
            <w:tcW w:w="3297" w:type="dxa"/>
            <w:shd w:val="clear" w:color="auto" w:fill="F2F2F2"/>
          </w:tcPr>
          <w:p>
            <w:pPr/>
            <w:r>
              <w:t xml:space="preserve">Deliverable</w:t>
            </w:r>
          </w:p>
        </w:tc>
        <w:tc>
          <w:tcPr>
            <w:tcW w:w="2180" w:type="dxa"/>
            <w:shd w:val="clear" w:color="auto" w:fill="F2F2F2"/>
          </w:tcPr>
          <w:p>
            <w:pPr/>
            <w:r>
              <w:t xml:space="preserve">Tests</w:t>
            </w:r>
          </w:p>
        </w:tc>
      </w:tr>
      <w:tr>
        <w:tc>
          <w:tcPr>
            <w:tcW w:w="720" w:type="dxa"/>
          </w:tcPr>
          <w:p>
            <w:pPr/>
            <w:r>
              <w:t xml:space="preserve">E-01</w:t>
            </w:r>
          </w:p>
        </w:tc>
        <w:tc>
          <w:tcPr>
            <w:tcW w:w="1740" w:type="dxa"/>
          </w:tcPr>
          <w:p>
            <w:pPr/>
            <w:r>
              <w:t xml:space="preserve">Repository, build, Compose skeleton, CI</w:t>
            </w:r>
          </w:p>
        </w:tc>
        <w:tc>
          <w:tcPr>
            <w:tcW w:w="1423" w:type="dxa"/>
          </w:tcPr>
          <w:p>
            <w:pPr/>
            <w:r>
              <w:t xml:space="preserve">—</w:t>
            </w:r>
          </w:p>
        </w:tc>
        <w:tc>
          <w:tcPr>
            <w:tcW w:w="3297" w:type="dxa"/>
          </w:tcPr>
          <w:p>
            <w:pPr/>
            <w:r>
              <w:t xml:space="preserve">Maven multi-module or single module with Modulith; Vite app; </w:t>
            </w:r>
            <w:r>
              <w:rPr>
                <w:rStyle w:val="CodeChar"/>
              </w:rPr>
              <w:t xml:space="preserve">docker compose up</w:t>
            </w:r>
            <w:r>
              <w:t xml:space="preserve"> gives db + app + web</w:t>
            </w:r>
          </w:p>
        </w:tc>
        <w:tc>
          <w:tcPr>
            <w:tcW w:w="2180" w:type="dxa"/>
          </w:tcPr>
          <w:p>
            <w:pPr/>
            <w:r>
              <w:t xml:space="preserve">CI green; container health checks</w:t>
            </w:r>
          </w:p>
        </w:tc>
      </w:tr>
      <w:tr>
        <w:tc>
          <w:tcPr>
            <w:tcW w:w="720" w:type="dxa"/>
          </w:tcPr>
          <w:p>
            <w:pPr/>
            <w:r>
              <w:t xml:space="preserve">E-02</w:t>
            </w:r>
          </w:p>
        </w:tc>
        <w:tc>
          <w:tcPr>
            <w:tcW w:w="1740" w:type="dxa"/>
          </w:tcPr>
          <w:p>
            <w:pPr/>
            <w:r>
              <w:t xml:space="preserve">Database roles and first migrations</w:t>
            </w:r>
          </w:p>
        </w:tc>
        <w:tc>
          <w:tcPr>
            <w:tcW w:w="1423" w:type="dxa"/>
          </w:tcPr>
          <w:p>
            <w:pPr/>
            <w:r>
              <w:t xml:space="preserve">E-01</w:t>
            </w:r>
          </w:p>
        </w:tc>
        <w:tc>
          <w:tcPr>
            <w:tcW w:w="3297" w:type="dxa"/>
          </w:tcPr>
          <w:p>
            <w:pPr/>
            <w:r>
              <w:t xml:space="preserve">Three DB roles; </w:t>
            </w:r>
            <w:r>
              <w:rPr>
                <w:rStyle w:val="CodeChar"/>
              </w:rPr>
              <w:t xml:space="preserve">office</w:t>
            </w:r>
            <w:r>
              <w:t xml:space="preserve">, </w:t>
            </w:r>
            <w:r>
              <w:rPr>
                <w:rStyle w:val="CodeChar"/>
              </w:rPr>
              <w:t xml:space="preserve">app_user</w:t>
            </w:r>
            <w:r>
              <w:t xml:space="preserve">, </w:t>
            </w:r>
            <w:r>
              <w:rPr>
                <w:rStyle w:val="CodeChar"/>
              </w:rPr>
              <w:t xml:space="preserve">role_assignment</w:t>
            </w:r>
            <w:r>
              <w:t xml:space="preserve">, </w:t>
            </w:r>
            <w:r>
              <w:rPr>
                <w:rStyle w:val="CodeChar"/>
              </w:rPr>
              <w:t xml:space="preserve">audit_event</w:t>
            </w:r>
            <w:r>
              <w:t xml:space="preserve"> with hash trigger</w:t>
            </w:r>
          </w:p>
        </w:tc>
        <w:tc>
          <w:tcPr>
            <w:tcW w:w="2180" w:type="dxa"/>
          </w:tcPr>
          <w:p>
            <w:pPr/>
            <w:r>
              <w:t xml:space="preserve">Testcontainers: app role cannot UPDATE/DELETE audit; chain verifies</w:t>
            </w:r>
          </w:p>
        </w:tc>
      </w:tr>
      <w:tr>
        <w:tc>
          <w:tcPr>
            <w:tcW w:w="720" w:type="dxa"/>
          </w:tcPr>
          <w:p>
            <w:pPr/>
            <w:r>
              <w:t xml:space="preserve">E-03</w:t>
            </w:r>
          </w:p>
        </w:tc>
        <w:tc>
          <w:tcPr>
            <w:tcW w:w="1740" w:type="dxa"/>
          </w:tcPr>
          <w:p>
            <w:pPr/>
            <w:r>
              <w:t xml:space="preserve">Authentication</w:t>
            </w:r>
          </w:p>
        </w:tc>
        <w:tc>
          <w:tcPr>
            <w:tcW w:w="1423" w:type="dxa"/>
          </w:tcPr>
          <w:p>
            <w:pPr/>
            <w:r>
              <w:t xml:space="preserve">E-02</w:t>
            </w:r>
          </w:p>
        </w:tc>
        <w:tc>
          <w:tcPr>
            <w:tcW w:w="3297" w:type="dxa"/>
          </w:tcPr>
          <w:p>
            <w:pPr/>
            <w:r>
              <w:t xml:space="preserve">Session login/logout, Argon2id, CSRF, rate limit, seeded synthetic users</w:t>
            </w:r>
          </w:p>
        </w:tc>
        <w:tc>
          <w:tcPr>
            <w:tcW w:w="2180" w:type="dxa"/>
          </w:tcPr>
          <w:p>
            <w:pPr/>
            <w:r>
              <w:t xml:space="preserve">Wrong password, lockout, logout invalidates session, CSRF required</w:t>
            </w:r>
          </w:p>
        </w:tc>
      </w:tr>
      <w:tr>
        <w:tc>
          <w:tcPr>
            <w:tcW w:w="720" w:type="dxa"/>
          </w:tcPr>
          <w:p>
            <w:pPr/>
            <w:r>
              <w:t xml:space="preserve">E-04</w:t>
            </w:r>
          </w:p>
        </w:tc>
        <w:tc>
          <w:tcPr>
            <w:tcW w:w="1740" w:type="dxa"/>
          </w:tcPr>
          <w:p>
            <w:pPr/>
            <w:r>
              <w:t xml:space="preserve">Authorization framework</w:t>
            </w:r>
          </w:p>
        </w:tc>
        <w:tc>
          <w:tcPr>
            <w:tcW w:w="1423" w:type="dxa"/>
          </w:tcPr>
          <w:p>
            <w:pPr/>
            <w:r>
              <w:t xml:space="preserve">E-03</w:t>
            </w:r>
          </w:p>
        </w:tc>
        <w:tc>
          <w:tcPr>
            <w:tcW w:w="3297" w:type="dxa"/>
          </w:tcPr>
          <w:p>
            <w:pPr/>
            <w:r>
              <w:t xml:space="preserve">Permission checks per endpoint, office scoping, denied-attempt audit</w:t>
            </w:r>
          </w:p>
        </w:tc>
        <w:tc>
          <w:tcPr>
            <w:tcW w:w="2180" w:type="dxa"/>
          </w:tcPr>
          <w:p>
            <w:pPr/>
            <w:r>
              <w:t xml:space="preserve">Matrix tests: each role × parcel endpoints</w:t>
            </w:r>
          </w:p>
        </w:tc>
      </w:tr>
      <w:tr>
        <w:tc>
          <w:tcPr>
            <w:tcW w:w="720" w:type="dxa"/>
          </w:tcPr>
          <w:p>
            <w:pPr/>
            <w:r>
              <w:t xml:space="preserve">E-05</w:t>
            </w:r>
          </w:p>
        </w:tc>
        <w:tc>
          <w:tcPr>
            <w:tcW w:w="1740" w:type="dxa"/>
          </w:tcPr>
          <w:p>
            <w:pPr/>
            <w:r>
              <w:t xml:space="preserve">Parcel create and read API</w:t>
            </w:r>
          </w:p>
        </w:tc>
        <w:tc>
          <w:tcPr>
            <w:tcW w:w="1423" w:type="dxa"/>
          </w:tcPr>
          <w:p>
            <w:pPr/>
            <w:r>
              <w:t xml:space="preserve">E-04</w:t>
            </w:r>
          </w:p>
        </w:tc>
        <w:tc>
          <w:tcPr>
            <w:tcW w:w="3297" w:type="dxa"/>
          </w:tcPr>
          <w:p>
            <w:pPr/>
            <w:r>
              <w:rPr>
                <w:rStyle w:val="CodeChar"/>
              </w:rPr>
              <w:t xml:space="preserve">parcel</w:t>
            </w:r>
            <w:r>
              <w:t xml:space="preserve">, </w:t>
            </w:r>
            <w:r>
              <w:rPr>
                <w:rStyle w:val="CodeChar"/>
              </w:rPr>
              <w:t xml:space="preserve">parcel_version</w:t>
            </w:r>
            <w:r>
              <w:t xml:space="preserve"> migrations; validation pipeline; reference generator</w:t>
            </w:r>
          </w:p>
        </w:tc>
        <w:tc>
          <w:tcPr>
            <w:tcW w:w="2180" w:type="dxa"/>
          </w:tcPr>
          <w:p>
            <w:pPr/>
            <w:r>
              <w:t xml:space="preserve">8 geometry fixtures; CRS equivalence; 403 for applicant</w:t>
            </w:r>
          </w:p>
        </w:tc>
      </w:tr>
      <w:tr>
        <w:tc>
          <w:tcPr>
            <w:tcW w:w="720" w:type="dxa"/>
          </w:tcPr>
          <w:p>
            <w:pPr/>
            <w:r>
              <w:t xml:space="preserve">E-06</w:t>
            </w:r>
          </w:p>
        </w:tc>
        <w:tc>
          <w:tcPr>
            <w:tcW w:w="1740" w:type="dxa"/>
          </w:tcPr>
          <w:p>
            <w:pPr/>
            <w:r>
              <w:t xml:space="preserve">Audit integration</w:t>
            </w:r>
          </w:p>
        </w:tc>
        <w:tc>
          <w:tcPr>
            <w:tcW w:w="1423" w:type="dxa"/>
          </w:tcPr>
          <w:p>
            <w:pPr/>
            <w:r>
              <w:t xml:space="preserve">E-05</w:t>
            </w:r>
          </w:p>
        </w:tc>
        <w:tc>
          <w:tcPr>
            <w:tcW w:w="3297" w:type="dxa"/>
          </w:tcPr>
          <w:p>
            <w:pPr/>
            <w:r>
              <w:t xml:space="preserve">Audit events for create/read-denied; auditor read + verify endpoint</w:t>
            </w:r>
          </w:p>
        </w:tc>
        <w:tc>
          <w:tcPr>
            <w:tcW w:w="2180" w:type="dxa"/>
          </w:tcPr>
          <w:p>
            <w:pPr/>
            <w:r>
              <w:t xml:space="preserve">Event per action; tamper detection</w:t>
            </w:r>
          </w:p>
        </w:tc>
      </w:tr>
      <w:tr>
        <w:tc>
          <w:tcPr>
            <w:tcW w:w="720" w:type="dxa"/>
          </w:tcPr>
          <w:p>
            <w:pPr/>
            <w:r>
              <w:t xml:space="preserve">E-07</w:t>
            </w:r>
          </w:p>
        </w:tc>
        <w:tc>
          <w:tcPr>
            <w:tcW w:w="1740" w:type="dxa"/>
          </w:tcPr>
          <w:p>
            <w:pPr/>
            <w:r>
              <w:t xml:space="preserve">Front end shell + login + i18n</w:t>
            </w:r>
          </w:p>
        </w:tc>
        <w:tc>
          <w:tcPr>
            <w:tcW w:w="1423" w:type="dxa"/>
          </w:tcPr>
          <w:p>
            <w:pPr/>
            <w:r>
              <w:t xml:space="preserve">E-03</w:t>
            </w:r>
          </w:p>
        </w:tc>
        <w:tc>
          <w:tcPr>
            <w:tcW w:w="3297" w:type="dxa"/>
          </w:tcPr>
          <w:p>
            <w:pPr/>
            <w:r>
              <w:t xml:space="preserve">Layouts, FR/EN switch, error and permission-denied states</w:t>
            </w:r>
          </w:p>
        </w:tc>
        <w:tc>
          <w:tcPr>
            <w:tcW w:w="2180" w:type="dxa"/>
          </w:tcPr>
          <w:p>
            <w:pPr/>
            <w:r>
              <w:t xml:space="preserve">Vitest component tests</w:t>
            </w:r>
          </w:p>
        </w:tc>
      </w:tr>
      <w:tr>
        <w:tc>
          <w:tcPr>
            <w:tcW w:w="720" w:type="dxa"/>
          </w:tcPr>
          <w:p>
            <w:pPr/>
            <w:r>
              <w:t xml:space="preserve">E-08</w:t>
            </w:r>
          </w:p>
        </w:tc>
        <w:tc>
          <w:tcPr>
            <w:tcW w:w="1740" w:type="dxa"/>
          </w:tcPr>
          <w:p>
            <w:pPr/>
            <w:r>
              <w:t xml:space="preserve">Parcel screens</w:t>
            </w:r>
          </w:p>
        </w:tc>
        <w:tc>
          <w:tcPr>
            <w:tcW w:w="1423" w:type="dxa"/>
          </w:tcPr>
          <w:p>
            <w:pPr/>
            <w:r>
              <w:t xml:space="preserve">E-05, E-07</w:t>
            </w:r>
          </w:p>
        </w:tc>
        <w:tc>
          <w:tcPr>
            <w:tcW w:w="3297" w:type="dxa"/>
          </w:tcPr>
          <w:p>
            <w:pPr/>
            <w:r>
              <w:t xml:space="preserve">Create from GeoJSON, detail with MapLibre map, version history</w:t>
            </w:r>
          </w:p>
        </w:tc>
        <w:tc>
          <w:tcPr>
            <w:tcW w:w="2180" w:type="dxa"/>
          </w:tcPr>
          <w:p>
            <w:pPr/>
            <w:r>
              <w:t xml:space="preserve">Playwright: create, view, invalid geometry message</w:t>
            </w:r>
          </w:p>
        </w:tc>
      </w:tr>
      <w:tr>
        <w:tc>
          <w:tcPr>
            <w:tcW w:w="720" w:type="dxa"/>
          </w:tcPr>
          <w:p>
            <w:pPr/>
            <w:r>
              <w:t xml:space="preserve">E-09</w:t>
            </w:r>
          </w:p>
        </w:tc>
        <w:tc>
          <w:tcPr>
            <w:tcW w:w="1740" w:type="dxa"/>
          </w:tcPr>
          <w:p>
            <w:pPr/>
            <w:r>
              <w:t xml:space="preserve">Parcel correction</w:t>
            </w:r>
          </w:p>
        </w:tc>
        <w:tc>
          <w:tcPr>
            <w:tcW w:w="1423" w:type="dxa"/>
          </w:tcPr>
          <w:p>
            <w:pPr/>
            <w:r>
              <w:t xml:space="preserve">E-08</w:t>
            </w:r>
          </w:p>
        </w:tc>
        <w:tc>
          <w:tcPr>
            <w:tcW w:w="3297" w:type="dxa"/>
          </w:tcPr>
          <w:p>
            <w:pPr/>
            <w:r>
              <w:t xml:space="preserve">New version with reason; history view</w:t>
            </w:r>
          </w:p>
        </w:tc>
        <w:tc>
          <w:tcPr>
            <w:tcW w:w="2180" w:type="dxa"/>
          </w:tcPr>
          <w:p>
            <w:pPr/>
            <w:r>
              <w:t xml:space="preserve">Old version unchanged; optimistic-lock 409</w:t>
            </w:r>
          </w:p>
        </w:tc>
      </w:tr>
      <w:tr>
        <w:tc>
          <w:tcPr>
            <w:tcW w:w="720" w:type="dxa"/>
          </w:tcPr>
          <w:p>
            <w:pPr/>
            <w:r>
              <w:t xml:space="preserve">E-10</w:t>
            </w:r>
          </w:p>
        </w:tc>
        <w:tc>
          <w:tcPr>
            <w:tcW w:w="1740" w:type="dxa"/>
          </w:tcPr>
          <w:p>
            <w:pPr/>
            <w:r>
              <w:t xml:space="preserve">Overlap and duplicate detection</w:t>
            </w:r>
          </w:p>
        </w:tc>
        <w:tc>
          <w:tcPr>
            <w:tcW w:w="1423" w:type="dxa"/>
          </w:tcPr>
          <w:p>
            <w:pPr/>
            <w:r>
              <w:t xml:space="preserve">E-05</w:t>
            </w:r>
          </w:p>
        </w:tc>
        <w:tc>
          <w:tcPr>
            <w:tcW w:w="3297" w:type="dxa"/>
          </w:tcPr>
          <w:p>
            <w:pPr/>
            <w:r>
              <w:t xml:space="preserve">Detection on version write; </w:t>
            </w:r>
            <w:r>
              <w:rPr>
                <w:rStyle w:val="CodeChar"/>
              </w:rPr>
              <w:t xml:space="preserve">conflict_alert</w:t>
            </w:r>
          </w:p>
        </w:tc>
        <w:tc>
          <w:tcPr>
            <w:tcW w:w="2180" w:type="dxa"/>
          </w:tcPr>
          <w:p>
            <w:pPr/>
            <w:r>
              <w:t xml:space="preserve">Fixture outcomes exactly as expected</w:t>
            </w:r>
          </w:p>
        </w:tc>
      </w:tr>
      <w:tr>
        <w:tc>
          <w:tcPr>
            <w:tcW w:w="720" w:type="dxa"/>
          </w:tcPr>
          <w:p>
            <w:pPr/>
            <w:r>
              <w:t xml:space="preserve">E-11</w:t>
            </w:r>
          </w:p>
        </w:tc>
        <w:tc>
          <w:tcPr>
            <w:tcW w:w="1740" w:type="dxa"/>
          </w:tcPr>
          <w:p>
            <w:pPr/>
            <w:r>
              <w:t xml:space="preserve">Alert review screens</w:t>
            </w:r>
          </w:p>
        </w:tc>
        <w:tc>
          <w:tcPr>
            <w:tcW w:w="1423" w:type="dxa"/>
          </w:tcPr>
          <w:p>
            <w:pPr/>
            <w:r>
              <w:t xml:space="preserve">E-10</w:t>
            </w:r>
          </w:p>
        </w:tc>
        <w:tc>
          <w:tcPr>
            <w:tcW w:w="3297" w:type="dxa"/>
          </w:tcPr>
          <w:p>
            <w:pPr/>
            <w:r>
              <w:t xml:space="preserve">Alert list, side-by-side map with intersection, resolution with SoD</w:t>
            </w:r>
          </w:p>
        </w:tc>
        <w:tc>
          <w:tcPr>
            <w:tcW w:w="2180" w:type="dxa"/>
          </w:tcPr>
          <w:p>
            <w:pPr/>
            <w:r>
              <w:t xml:space="preserve">Author cannot resolve; note required</w:t>
            </w:r>
          </w:p>
        </w:tc>
      </w:tr>
      <w:tr>
        <w:tc>
          <w:tcPr>
            <w:tcW w:w="720" w:type="dxa"/>
          </w:tcPr>
          <w:p>
            <w:pPr/>
            <w:r>
              <w:t xml:space="preserve">E-12</w:t>
            </w:r>
          </w:p>
        </w:tc>
        <w:tc>
          <w:tcPr>
            <w:tcW w:w="1740" w:type="dxa"/>
          </w:tcPr>
          <w:p>
            <w:pPr/>
            <w:r>
              <w:t xml:space="preserve">Application type, draft, submit</w:t>
            </w:r>
          </w:p>
        </w:tc>
        <w:tc>
          <w:tcPr>
            <w:tcW w:w="1423" w:type="dxa"/>
          </w:tcPr>
          <w:p>
            <w:pPr/>
            <w:r>
              <w:t xml:space="preserve">E-04</w:t>
            </w:r>
          </w:p>
        </w:tc>
        <w:tc>
          <w:tcPr>
            <w:tcW w:w="3297" w:type="dxa"/>
          </w:tcPr>
          <w:p>
            <w:pPr/>
            <w:r>
              <w:t xml:space="preserve">Demo type, draft CRUD, submit with reference and idempotency</w:t>
            </w:r>
          </w:p>
        </w:tc>
        <w:tc>
          <w:tcPr>
            <w:tcW w:w="2180" w:type="dxa"/>
          </w:tcPr>
          <w:p>
            <w:pPr/>
            <w:r>
              <w:t xml:space="preserve">IDOR tests; double submit</w:t>
            </w:r>
          </w:p>
        </w:tc>
      </w:tr>
      <w:tr>
        <w:tc>
          <w:tcPr>
            <w:tcW w:w="720" w:type="dxa"/>
          </w:tcPr>
          <w:p>
            <w:pPr/>
            <w:r>
              <w:t xml:space="preserve">E-13</w:t>
            </w:r>
          </w:p>
        </w:tc>
        <w:tc>
          <w:tcPr>
            <w:tcW w:w="1740" w:type="dxa"/>
          </w:tcPr>
          <w:p>
            <w:pPr/>
            <w:r>
              <w:t xml:space="preserve">Documents</w:t>
            </w:r>
          </w:p>
        </w:tc>
        <w:tc>
          <w:tcPr>
            <w:tcW w:w="1423" w:type="dxa"/>
          </w:tcPr>
          <w:p>
            <w:pPr/>
            <w:r>
              <w:t xml:space="preserve">E-12</w:t>
            </w:r>
          </w:p>
        </w:tc>
        <w:tc>
          <w:tcPr>
            <w:tcW w:w="3297" w:type="dxa"/>
          </w:tcPr>
          <w:p>
            <w:pPr/>
            <w:r>
              <w:t xml:space="preserve">Upload, signature-based type check, versions, download</w:t>
            </w:r>
          </w:p>
        </w:tc>
        <w:tc>
          <w:tcPr>
            <w:tcW w:w="2180" w:type="dxa"/>
          </w:tcPr>
          <w:p>
            <w:pPr/>
            <w:r>
              <w:t xml:space="preserve">Disguised file rejected; orphan cleanup</w:t>
            </w:r>
          </w:p>
        </w:tc>
      </w:tr>
      <w:tr>
        <w:tc>
          <w:tcPr>
            <w:tcW w:w="720" w:type="dxa"/>
          </w:tcPr>
          <w:p>
            <w:pPr/>
            <w:r>
              <w:t xml:space="preserve">E-14</w:t>
            </w:r>
          </w:p>
        </w:tc>
        <w:tc>
          <w:tcPr>
            <w:tcW w:w="1740" w:type="dxa"/>
          </w:tcPr>
          <w:p>
            <w:pPr/>
            <w:r>
              <w:t xml:space="preserve">Completeness review and info requests</w:t>
            </w:r>
          </w:p>
        </w:tc>
        <w:tc>
          <w:tcPr>
            <w:tcW w:w="1423" w:type="dxa"/>
          </w:tcPr>
          <w:p>
            <w:pPr/>
            <w:r>
              <w:t xml:space="preserve">E-13</w:t>
            </w:r>
          </w:p>
        </w:tc>
        <w:tc>
          <w:tcPr>
            <w:tcW w:w="3297" w:type="dxa"/>
          </w:tcPr>
          <w:p>
            <w:pPr/>
            <w:r>
              <w:t xml:space="preserve">Auto check, officer accept/request, applicant response</w:t>
            </w:r>
          </w:p>
        </w:tc>
        <w:tc>
          <w:tcPr>
            <w:tcW w:w="2180" w:type="dxa"/>
          </w:tcPr>
          <w:p>
            <w:pPr/>
            <w:r>
              <w:t xml:space="preserve">Round trip keeps history; invalid transitions 409</w:t>
            </w:r>
          </w:p>
        </w:tc>
      </w:tr>
      <w:tr>
        <w:tc>
          <w:tcPr>
            <w:tcW w:w="720" w:type="dxa"/>
          </w:tcPr>
          <w:p>
            <w:pPr/>
            <w:r>
              <w:t xml:space="preserve">E-15</w:t>
            </w:r>
          </w:p>
        </w:tc>
        <w:tc>
          <w:tcPr>
            <w:tcW w:w="1740" w:type="dxa"/>
          </w:tcPr>
          <w:p>
            <w:pPr/>
            <w:r>
              <w:t xml:space="preserve">Review and simulated decision</w:t>
            </w:r>
          </w:p>
        </w:tc>
        <w:tc>
          <w:tcPr>
            <w:tcW w:w="1423" w:type="dxa"/>
          </w:tcPr>
          <w:p>
            <w:pPr/>
            <w:r>
              <w:t xml:space="preserve">E-14, E-11</w:t>
            </w:r>
          </w:p>
        </w:tc>
        <w:tc>
          <w:tcPr>
            <w:tcW w:w="3297" w:type="dxa"/>
          </w:tcPr>
          <w:p>
            <w:pPr/>
            <w:r>
              <w:t xml:space="preserve">Recommendation, decision with SoD and alert gate</w:t>
            </w:r>
          </w:p>
        </w:tc>
        <w:tc>
          <w:tcPr>
            <w:tcW w:w="2180" w:type="dxa"/>
          </w:tcPr>
          <w:p>
            <w:pPr/>
            <w:r>
              <w:t xml:space="preserve">Same person blocked; open alert blocks</w:t>
            </w:r>
          </w:p>
        </w:tc>
      </w:tr>
      <w:tr>
        <w:tc>
          <w:tcPr>
            <w:tcW w:w="720" w:type="dxa"/>
          </w:tcPr>
          <w:p>
            <w:pPr/>
            <w:r>
              <w:t xml:space="preserve">E-16</w:t>
            </w:r>
          </w:p>
        </w:tc>
        <w:tc>
          <w:tcPr>
            <w:tcW w:w="1740" w:type="dxa"/>
          </w:tcPr>
          <w:p>
            <w:pPr/>
            <w:r>
              <w:t xml:space="preserve">Tracking and workload report</w:t>
            </w:r>
          </w:p>
        </w:tc>
        <w:tc>
          <w:tcPr>
            <w:tcW w:w="1423" w:type="dxa"/>
          </w:tcPr>
          <w:p>
            <w:pPr/>
            <w:r>
              <w:t xml:space="preserve">E-14</w:t>
            </w:r>
          </w:p>
        </w:tc>
        <w:tc>
          <w:tcPr>
            <w:tcW w:w="3297" w:type="dxa"/>
          </w:tcPr>
          <w:p>
            <w:pPr/>
            <w:r>
              <w:t xml:space="preserve">Applicant timeline; supervisor queue and stage durations</w:t>
            </w:r>
          </w:p>
        </w:tc>
        <w:tc>
          <w:tcPr>
            <w:tcW w:w="2180" w:type="dxa"/>
          </w:tcPr>
          <w:p>
            <w:pPr/>
            <w:r>
              <w:t xml:space="preserve">Applicant payload has no internal fields</w:t>
            </w:r>
          </w:p>
        </w:tc>
      </w:tr>
      <w:tr>
        <w:tc>
          <w:tcPr>
            <w:tcW w:w="720" w:type="dxa"/>
          </w:tcPr>
          <w:p>
            <w:pPr/>
            <w:r>
              <w:t xml:space="preserve">E-17</w:t>
            </w:r>
          </w:p>
        </w:tc>
        <w:tc>
          <w:tcPr>
            <w:tcW w:w="1740" w:type="dxa"/>
          </w:tcPr>
          <w:p>
            <w:pPr/>
            <w:r>
              <w:t xml:space="preserve">Simulated payment</w:t>
            </w:r>
          </w:p>
        </w:tc>
        <w:tc>
          <w:tcPr>
            <w:tcW w:w="1423" w:type="dxa"/>
          </w:tcPr>
          <w:p>
            <w:pPr/>
            <w:r>
              <w:t xml:space="preserve">E-12</w:t>
            </w:r>
          </w:p>
        </w:tc>
        <w:tc>
          <w:tcPr>
            <w:tcW w:w="3297" w:type="dxa"/>
          </w:tcPr>
          <w:p>
            <w:pPr/>
            <w:r>
              <w:t xml:space="preserve">Fee schedule, request, signed callback endpoint, reconciliation</w:t>
            </w:r>
          </w:p>
        </w:tc>
        <w:tc>
          <w:tcPr>
            <w:tcW w:w="2180" w:type="dxa"/>
          </w:tcPr>
          <w:p>
            <w:pPr/>
            <w:r>
              <w:t xml:space="preserve">Six payment outcomes</w:t>
            </w:r>
          </w:p>
        </w:tc>
      </w:tr>
      <w:tr>
        <w:tc>
          <w:tcPr>
            <w:tcW w:w="720" w:type="dxa"/>
          </w:tcPr>
          <w:p>
            <w:pPr/>
            <w:r>
              <w:t xml:space="preserve">E-18</w:t>
            </w:r>
          </w:p>
        </w:tc>
        <w:tc>
          <w:tcPr>
            <w:tcW w:w="1740" w:type="dxa"/>
          </w:tcPr>
          <w:p>
            <w:pPr/>
            <w:r>
              <w:t xml:space="preserve">Audit timeline view</w:t>
            </w:r>
          </w:p>
        </w:tc>
        <w:tc>
          <w:tcPr>
            <w:tcW w:w="1423" w:type="dxa"/>
          </w:tcPr>
          <w:p>
            <w:pPr/>
            <w:r>
              <w:t xml:space="preserve">E-06, E-15</w:t>
            </w:r>
          </w:p>
        </w:tc>
        <w:tc>
          <w:tcPr>
            <w:tcW w:w="3297" w:type="dxa"/>
          </w:tcPr>
          <w:p>
            <w:pPr/>
            <w:r>
              <w:t xml:space="preserve">Case and parcel reconstruction screen for auditor/supervisor</w:t>
            </w:r>
          </w:p>
        </w:tc>
        <w:tc>
          <w:tcPr>
            <w:tcW w:w="2180" w:type="dxa"/>
          </w:tcPr>
          <w:p>
            <w:pPr/>
            <w:r>
              <w:t xml:space="preserve">Demo script events all present</w:t>
            </w:r>
          </w:p>
        </w:tc>
      </w:tr>
      <w:tr>
        <w:tc>
          <w:tcPr>
            <w:tcW w:w="720" w:type="dxa"/>
          </w:tcPr>
          <w:p>
            <w:pPr/>
            <w:r>
              <w:t xml:space="preserve">E-19</w:t>
            </w:r>
          </w:p>
        </w:tc>
        <w:tc>
          <w:tcPr>
            <w:tcW w:w="1740" w:type="dxa"/>
          </w:tcPr>
          <w:p>
            <w:pPr/>
            <w:r>
              <w:t xml:space="preserve">End-to-end demo script</w:t>
            </w:r>
          </w:p>
        </w:tc>
        <w:tc>
          <w:tcPr>
            <w:tcW w:w="1423" w:type="dxa"/>
          </w:tcPr>
          <w:p>
            <w:pPr/>
            <w:r>
              <w:t xml:space="preserve">all</w:t>
            </w:r>
          </w:p>
        </w:tc>
        <w:tc>
          <w:tcPr>
            <w:tcW w:w="3297" w:type="dxa"/>
          </w:tcPr>
          <w:p>
            <w:pPr/>
            <w:r>
              <w:t xml:space="preserve">Playwright run of the 11 steps and 7 negative cases</w:t>
            </w:r>
          </w:p>
        </w:tc>
        <w:tc>
          <w:tcPr>
            <w:tcW w:w="2180" w:type="dxa"/>
          </w:tcPr>
          <w:p>
            <w:pPr/>
            <w:r>
              <w:t xml:space="preserve">Full suite green in CI</w:t>
            </w:r>
          </w:p>
        </w:tc>
      </w:tr>
      <w:tr>
        <w:tc>
          <w:tcPr>
            <w:tcW w:w="720" w:type="dxa"/>
          </w:tcPr>
          <w:p>
            <w:pPr/>
            <w:r>
              <w:t xml:space="preserve">E-20</w:t>
            </w:r>
          </w:p>
        </w:tc>
        <w:tc>
          <w:tcPr>
            <w:tcW w:w="1740" w:type="dxa"/>
          </w:tcPr>
          <w:p>
            <w:pPr/>
            <w:r>
              <w:t xml:space="preserve">Operations pack</w:t>
            </w:r>
          </w:p>
        </w:tc>
        <w:tc>
          <w:tcPr>
            <w:tcW w:w="1423" w:type="dxa"/>
          </w:tcPr>
          <w:p>
            <w:pPr/>
            <w:r>
              <w:t xml:space="preserve">E-19</w:t>
            </w:r>
          </w:p>
        </w:tc>
        <w:tc>
          <w:tcPr>
            <w:tcW w:w="3297" w:type="dxa"/>
          </w:tcPr>
          <w:p>
            <w:pPr/>
            <w:r>
              <w:t xml:space="preserve">Backup/restore script and drill, runbook, known-limitations doc</w:t>
            </w:r>
          </w:p>
        </w:tc>
        <w:tc>
          <w:tcPr>
            <w:tcW w:w="2180" w:type="dxa"/>
          </w:tcPr>
          <w:p>
            <w:pPr/>
            <w:r>
              <w:t xml:space="preserve">Restore into empty DB passes smoke tests</w:t>
            </w:r>
          </w:p>
        </w:tc>
      </w:tr>
    </w:tbl>
    <w:p>
      <w:pPr>
        <w:pStyle w:val="Heading3"/>
      </w:pPr>
      <w:r>
        <w:t xml:space="preserve">Slice 1 acceptance criteria</w:t>
      </w:r>
    </w:p>
    <w:p>
      <w:pPr>
        <w:pStyle w:val="ListParagraph"/>
        <w:numPr>
          <w:ilvl w:val="0"/>
          <w:numId w:val="21"/>
        </w:numPr>
      </w:pPr>
      <w:r>
        <w:t xml:space="preserve">☐ </w:t>
      </w:r>
      <w:r>
        <w:rPr>
          <w:rStyle w:val="CodeChar"/>
        </w:rPr>
        <w:t xml:space="preserve">docker compose up</w:t>
      </w:r>
      <w:r>
        <w:t xml:space="preserve"> on a clean machine starts the stack; documented in the README.</w:t>
      </w:r>
    </w:p>
    <w:p>
      <w:pPr>
        <w:pStyle w:val="ListParagraph"/>
        <w:numPr>
          <w:ilvl w:val="0"/>
          <w:numId w:val="21"/>
        </w:numPr>
      </w:pPr>
      <w:r>
        <w:t xml:space="preserve">☐ Seeded cadastral officer logs in, creates a parcel from a GeoJSON file, receives a reference, sees the polygon on the map.</w:t>
      </w:r>
    </w:p>
    <w:p>
      <w:pPr>
        <w:pStyle w:val="ListParagraph"/>
        <w:numPr>
          <w:ilvl w:val="0"/>
          <w:numId w:val="21"/>
        </w:numPr>
      </w:pPr>
      <w:r>
        <w:t xml:space="preserve">☐ A self-intersecting polygon is rejected with a readable FR/EN message.</w:t>
      </w:r>
    </w:p>
    <w:p>
      <w:pPr>
        <w:pStyle w:val="ListParagraph"/>
        <w:numPr>
          <w:ilvl w:val="0"/>
          <w:numId w:val="21"/>
        </w:numPr>
      </w:pPr>
      <w:r>
        <w:t xml:space="preserve">☐ A seeded applicant calling the create endpoint receives 403, and the denial is in the audit log.</w:t>
      </w:r>
    </w:p>
    <w:p>
      <w:pPr>
        <w:pStyle w:val="ListParagraph"/>
        <w:numPr>
          <w:ilvl w:val="0"/>
          <w:numId w:val="21"/>
        </w:numPr>
      </w:pPr>
      <w:r>
        <w:t xml:space="preserve">☐ The auditor can list the events and run chain verification; a manually altered row fails verification.</w:t>
      </w:r>
    </w:p>
    <w:p>
      <w:pPr>
        <w:pStyle w:val="ListParagraph"/>
        <w:numPr>
          <w:ilvl w:val="0"/>
          <w:numId w:val="21"/>
        </w:numPr>
      </w:pPr>
      <w:r>
        <w:t xml:space="preserve">☒ All tests above run in CI against PostGIS in Testcontainers.</w:t>
      </w:r>
    </w:p>
    <w:p>
      <w:pPr>
        <w:pStyle w:val="Heading2"/>
      </w:pPr>
      <w:r>
        <w:t xml:space="preserve">Decisions needed from the team</w:t>
      </w:r>
    </w:p>
    <w:p>
      <w:pPr/>
      <w:r>
        <w:t xml:space="preserve">I will proceed with the recommended default on each item unless you say otherwise; items 1–4 affect slice 1.</w:t>
      </w:r>
    </w:p>
    <w:p>
      <w:pPr>
        <w:pStyle w:val="ListParagraph"/>
        <w:numPr>
          <w:ilvl w:val="0"/>
          <w:numId w:val="22"/>
        </w:numPr>
      </w:pPr>
      <w:r>
        <w:t xml:space="preserve">☐ </w:t>
      </w:r>
      <w:r>
        <w:rPr>
          <w:b/>
        </w:rPr>
        <w:t xml:space="preserve">Hosting for the demo:</w:t>
      </w:r>
      <w:r>
        <w:t xml:space="preserve"> a single VPS or an institution-provided server? Determines TLS and backup setup. Default: one Linux VM with Docker Compose.</w:t>
      </w:r>
    </w:p>
    <w:p>
      <w:pPr>
        <w:pStyle w:val="ListParagraph"/>
        <w:numPr>
          <w:ilvl w:val="0"/>
          <w:numId w:val="22"/>
        </w:numPr>
      </w:pPr>
      <w:r>
        <w:t xml:space="preserve">☐ </w:t>
      </w:r>
      <w:r>
        <w:rPr>
          <w:b/>
        </w:rPr>
        <w:t xml:space="preserve">Git hosting and CI:</w:t>
      </w:r>
      <w:r>
        <w:t xml:space="preserve"> GitHub, GitLab, or other? Default: GitHub with Actions.</w:t>
      </w:r>
    </w:p>
    <w:p>
      <w:pPr>
        <w:pStyle w:val="ListParagraph"/>
        <w:numPr>
          <w:ilvl w:val="0"/>
          <w:numId w:val="22"/>
        </w:numPr>
      </w:pPr>
      <w:r>
        <w:t xml:space="preserve">☐ </w:t>
      </w:r>
      <w:r>
        <w:rPr>
          <w:b/>
        </w:rPr>
        <w:t xml:space="preserve">MFA for back-office roles in the demo:</w:t>
      </w:r>
      <w:r>
        <w:t xml:space="preserve"> on or off? Default: on, TOTP.</w:t>
      </w:r>
    </w:p>
    <w:p>
      <w:pPr>
        <w:pStyle w:val="ListParagraph"/>
        <w:numPr>
          <w:ilvl w:val="0"/>
          <w:numId w:val="22"/>
        </w:numPr>
      </w:pPr>
      <w:r>
        <w:t xml:space="preserve">☐ </w:t>
      </w:r>
      <w:r>
        <w:rPr>
          <w:b/>
        </w:rPr>
        <w:t xml:space="preserve">Official CRS and datum</w:t>
      </w:r>
      <w:r>
        <w:t xml:space="preserve"> used by Cameroonian cadastral services. Default: EPSG:4326 storage, 32632/32633 input.</w:t>
      </w:r>
    </w:p>
    <w:p>
      <w:pPr>
        <w:pStyle w:val="ListParagraph"/>
        <w:numPr>
          <w:ilvl w:val="0"/>
          <w:numId w:val="22"/>
        </w:numPr>
      </w:pPr>
      <w:r>
        <w:t xml:space="preserve">☐ </w:t>
      </w:r>
      <w:r>
        <w:rPr>
          <w:b/>
        </w:rPr>
        <w:t xml:space="preserve">Demo application type and required document categories.</w:t>
      </w:r>
      <w:r>
        <w:t xml:space="preserve"> Default: one title-registration-style type with three DEMO categories.</w:t>
      </w:r>
    </w:p>
    <w:p>
      <w:pPr>
        <w:pStyle w:val="ListParagraph"/>
        <w:numPr>
          <w:ilvl w:val="0"/>
          <w:numId w:val="22"/>
        </w:numPr>
      </w:pPr>
      <w:r>
        <w:t xml:space="preserve">☐ </w:t>
      </w:r>
      <w:r>
        <w:rPr>
          <w:b/>
        </w:rPr>
        <w:t xml:space="preserve">Does unpaid status block completeness acceptance?</w:t>
      </w:r>
      <w:r>
        <w:t xml:space="preserve"> Default: yes, behind a flag.</w:t>
      </w:r>
    </w:p>
    <w:p>
      <w:pPr>
        <w:pStyle w:val="ListParagraph"/>
        <w:numPr>
          <w:ilvl w:val="0"/>
          <w:numId w:val="22"/>
        </w:numPr>
      </w:pPr>
      <w:r>
        <w:t xml:space="preserve">☐ </w:t>
      </w:r>
      <w:r>
        <w:rPr>
          <w:b/>
        </w:rPr>
        <w:t xml:space="preserve">Separation-of-duties rules</w:t>
      </w:r>
      <w:r>
        <w:t xml:space="preserve"> in gap 6 of Task A: confirm or amend.</w:t>
      </w:r>
    </w:p>
    <w:p>
      <w:pPr>
        <w:pStyle w:val="ListParagraph"/>
        <w:numPr>
          <w:ilvl w:val="0"/>
          <w:numId w:val="22"/>
        </w:numPr>
      </w:pPr>
      <w:r>
        <w:t xml:space="preserve">☐ </w:t>
      </w:r>
      <w:r>
        <w:rPr>
          <w:b/>
        </w:rPr>
        <w:t xml:space="preserve">Overlap thresholds:</w:t>
      </w:r>
      <w:r>
        <w:t xml:space="preserve"> 1 m² minimum and 95% for duplicates. Confirm or supply surveyor guidance.</w:t>
      </w:r>
    </w:p>
    <w:p>
      <w:pPr>
        <w:pStyle w:val="ListParagraph"/>
        <w:numPr>
          <w:ilvl w:val="0"/>
          <w:numId w:val="22"/>
        </w:numPr>
      </w:pPr>
      <w:r>
        <w:t xml:space="preserve">☐ </w:t>
      </w:r>
      <w:r>
        <w:rPr>
          <w:b/>
        </w:rPr>
        <w:t xml:space="preserve">Single-module or multi-module Maven build.</w:t>
      </w:r>
      <w:r>
        <w:t xml:space="preserve"> Default: single module with Modulith-enforced packages.</w:t>
      </w:r>
    </w:p>
    <w:p>
      <w:pPr/>
      <w:r>
        <w:t xml:space="preserve">Decisions above were approved on 20 October 2026 with clarifications; the resulting design is in </w:t>
      </w:r>
      <w:r>
        <w:t xml:space="preserve">Slice 1 design</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github.com/spring-projects/spring-boot/wiki/Spring-Boot-4.1-Release-Notes" TargetMode="External"/><Relationship Id="rId5" Type="http://schemas.openxmlformats.org/officeDocument/2006/relationships/hyperlink" Target="https://folio-org.atlassian.net/wiki/spaces/FOLIJET/pages/1163264001/Migration+to+Spring+Boot+4.1" TargetMode="External"/><Relationship Id="rId6" Type="http://schemas.openxmlformats.org/officeDocument/2006/relationships/hyperlink" Target="https://ubuntuupdates.org/package/postgresql/jammy-pgdg/main/base/postgresql-18-postgis-3" TargetMode="External"/><Relationship Id="rId7" Type="http://schemas.openxmlformats.org/officeDocument/2006/relationships/hyperlink" Target="https://www.youngju.dev/blog/2026-07-17-minio-archived-garage-seaweedfs-ceph-rgw.en" TargetMode="External"/><Relationship Id="rId8"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SNIGFNILGS — MVP Technical Baseline v0.1</dc:title>
  <dc:description>Claude Docs node/efccde7e-781a@26 docx-w7</dc:description>
  <cp:revision>26</cp:revision>
</cp:coreProperties>
</file>